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57EF674C"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E32745"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4976E784" w:rsidR="00171BDD" w:rsidRPr="001014E2" w:rsidRDefault="003C422D" w:rsidP="00097AD5">
      <w:pPr>
        <w:spacing w:line="360" w:lineRule="auto"/>
        <w:jc w:val="center"/>
        <w:rPr>
          <w:rFonts w:ascii="Times New Roman" w:hAnsi="Times New Roman"/>
          <w:b/>
          <w:sz w:val="32"/>
          <w:szCs w:val="32"/>
        </w:rPr>
      </w:pPr>
      <w:r>
        <w:rPr>
          <w:rFonts w:ascii="Times New Roman" w:hAnsi="Times New Roman"/>
          <w:b/>
          <w:sz w:val="32"/>
          <w:szCs w:val="32"/>
        </w:rPr>
        <w:t>Gândire social</w:t>
      </w:r>
      <w:r w:rsidR="00ED79EA">
        <w:rPr>
          <w:rFonts w:ascii="Times New Roman" w:hAnsi="Times New Roman"/>
          <w:b/>
          <w:sz w:val="32"/>
          <w:szCs w:val="32"/>
        </w:rPr>
        <w:t>ă</w:t>
      </w:r>
      <w:r>
        <w:rPr>
          <w:rFonts w:ascii="Times New Roman" w:hAnsi="Times New Roman"/>
          <w:b/>
          <w:sz w:val="32"/>
          <w:szCs w:val="32"/>
        </w:rPr>
        <w:t xml:space="preserve"> – politică românească</w:t>
      </w:r>
      <w:r w:rsidR="00CE79E3">
        <w:rPr>
          <w:rFonts w:ascii="Times New Roman" w:hAnsi="Times New Roman"/>
          <w:b/>
          <w:sz w:val="32"/>
          <w:szCs w:val="32"/>
        </w:rPr>
        <w:t xml:space="preserve"> (</w:t>
      </w:r>
      <w:r w:rsidR="003C785B">
        <w:rPr>
          <w:rFonts w:ascii="Times New Roman" w:hAnsi="Times New Roman"/>
          <w:b/>
          <w:sz w:val="32"/>
          <w:szCs w:val="32"/>
        </w:rPr>
        <w:t>GSPR</w:t>
      </w:r>
      <w:r w:rsidR="00CE79E3">
        <w:rPr>
          <w:rFonts w:ascii="Times New Roman" w:hAnsi="Times New Roman"/>
          <w:b/>
          <w:sz w:val="32"/>
          <w:szCs w:val="32"/>
        </w:rPr>
        <w:t>)</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11BD4820"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CE79E3">
        <w:rPr>
          <w:rFonts w:ascii="Times New Roman" w:hAnsi="Times New Roman"/>
          <w:sz w:val="24"/>
          <w:szCs w:val="24"/>
        </w:rPr>
        <w:t>III</w:t>
      </w:r>
    </w:p>
    <w:p w14:paraId="255C8018" w14:textId="718087AF"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CE79E3">
        <w:rPr>
          <w:rFonts w:ascii="Times New Roman" w:hAnsi="Times New Roman"/>
          <w:sz w:val="24"/>
          <w:szCs w:val="24"/>
        </w:rPr>
        <w:t>I</w:t>
      </w:r>
    </w:p>
    <w:p w14:paraId="255C8019" w14:textId="77777777" w:rsidR="005F4D76" w:rsidRPr="001014E2" w:rsidRDefault="005F4D76" w:rsidP="00097AD5">
      <w:pPr>
        <w:pStyle w:val="Default"/>
        <w:spacing w:line="360" w:lineRule="auto"/>
      </w:pPr>
    </w:p>
    <w:p w14:paraId="255C801A" w14:textId="78F65B4B" w:rsidR="00071FF9" w:rsidRPr="001014E2" w:rsidRDefault="00071FF9" w:rsidP="00097AD5">
      <w:pPr>
        <w:pStyle w:val="Default"/>
        <w:spacing w:line="276" w:lineRule="auto"/>
        <w:rPr>
          <w:i/>
          <w:iCs/>
        </w:rPr>
      </w:pPr>
      <w:r w:rsidRPr="001014E2">
        <w:rPr>
          <w:b/>
          <w:bCs/>
        </w:rPr>
        <w:t xml:space="preserve">Titularul cursului: </w:t>
      </w:r>
    </w:p>
    <w:p w14:paraId="255C801C" w14:textId="6F8C330C" w:rsidR="005F4D76" w:rsidRPr="001014E2" w:rsidRDefault="00CE79E3" w:rsidP="00097AD5">
      <w:pPr>
        <w:pStyle w:val="Default"/>
        <w:spacing w:line="360" w:lineRule="auto"/>
        <w:rPr>
          <w:iCs/>
        </w:rPr>
      </w:pPr>
      <w:r>
        <w:rPr>
          <w:iCs/>
        </w:rPr>
        <w:t>Lect. Univ. Dr. Bogdan Florian</w:t>
      </w: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202309AA" w:rsidR="00071FF9" w:rsidRPr="001014E2" w:rsidRDefault="00AA2747" w:rsidP="00854CB1">
            <w:pPr>
              <w:pStyle w:val="Default"/>
              <w:spacing w:line="360" w:lineRule="auto"/>
              <w:rPr>
                <w:b/>
                <w:bCs/>
              </w:rPr>
            </w:pPr>
            <w:r w:rsidRPr="001014E2">
              <w:rPr>
                <w:b/>
                <w:bCs/>
              </w:rPr>
              <w:t>C=</w:t>
            </w:r>
            <w:r w:rsidR="002A5DBB">
              <w:rPr>
                <w:b/>
                <w:bCs/>
              </w:rPr>
              <w:t>28</w:t>
            </w:r>
            <w:r w:rsidRPr="001014E2">
              <w:rPr>
                <w:b/>
                <w:bCs/>
              </w:rPr>
              <w:t>, SI=</w:t>
            </w:r>
            <w:r w:rsidR="000A5E32">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7427E9B0" w:rsidR="00071FF9" w:rsidRPr="001014E2" w:rsidRDefault="00AA2747" w:rsidP="00854CB1">
            <w:pPr>
              <w:pStyle w:val="Default"/>
              <w:spacing w:line="360" w:lineRule="auto"/>
              <w:rPr>
                <w:b/>
                <w:bCs/>
              </w:rPr>
            </w:pPr>
            <w:r w:rsidRPr="001014E2">
              <w:rPr>
                <w:b/>
                <w:bCs/>
              </w:rPr>
              <w:t>S=</w:t>
            </w:r>
            <w:r w:rsidR="002A5DBB">
              <w:rPr>
                <w:b/>
                <w:bCs/>
              </w:rPr>
              <w:t>28</w:t>
            </w:r>
            <w:r w:rsidRPr="001014E2">
              <w:rPr>
                <w:b/>
                <w:bCs/>
              </w:rPr>
              <w:t>, SI=</w:t>
            </w:r>
            <w:r w:rsidR="000A5E32">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575E1F8F" w:rsidR="00071FF9" w:rsidRPr="001014E2" w:rsidRDefault="0012271A"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3345AA87" w:rsidR="00071FF9" w:rsidRPr="001014E2" w:rsidRDefault="00E80976" w:rsidP="000A5E32">
            <w:pPr>
              <w:pStyle w:val="Default"/>
              <w:spacing w:line="360" w:lineRule="auto"/>
              <w:jc w:val="center"/>
              <w:rPr>
                <w:b/>
                <w:bCs/>
              </w:rPr>
            </w:pPr>
            <w:r>
              <w:rPr>
                <w:b/>
                <w:bCs/>
              </w:rPr>
              <w:t>6</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77542960" w:rsidR="00A445F9" w:rsidRDefault="00071FF9" w:rsidP="002A5DBB">
      <w:pPr>
        <w:pStyle w:val="Default"/>
        <w:numPr>
          <w:ilvl w:val="0"/>
          <w:numId w:val="15"/>
        </w:numPr>
        <w:spacing w:line="360" w:lineRule="auto"/>
        <w:ind w:right="-567"/>
        <w:jc w:val="both"/>
        <w:rPr>
          <w:b/>
          <w:bCs/>
        </w:rPr>
      </w:pPr>
      <w:r w:rsidRPr="001014E2">
        <w:rPr>
          <w:b/>
          <w:bCs/>
        </w:rPr>
        <w:t>OBIECTIVELE DISCIPLINEI</w:t>
      </w:r>
    </w:p>
    <w:p w14:paraId="1CE42460" w14:textId="4866D552" w:rsidR="002A5DBB" w:rsidRPr="0002145D" w:rsidRDefault="002A5DBB" w:rsidP="002A5DBB">
      <w:pPr>
        <w:pStyle w:val="Default"/>
        <w:spacing w:line="360" w:lineRule="auto"/>
        <w:ind w:left="720" w:right="-567"/>
        <w:jc w:val="both"/>
        <w:rPr>
          <w:sz w:val="23"/>
          <w:szCs w:val="23"/>
        </w:rPr>
      </w:pPr>
      <w:r w:rsidRPr="002A5DBB">
        <w:rPr>
          <w:sz w:val="23"/>
          <w:szCs w:val="23"/>
        </w:rPr>
        <w:lastRenderedPageBreak/>
        <w:t>Cursul "</w:t>
      </w:r>
      <w:r w:rsidR="00E80976">
        <w:rPr>
          <w:sz w:val="23"/>
          <w:szCs w:val="23"/>
        </w:rPr>
        <w:t>Gândirea social politică românească</w:t>
      </w:r>
      <w:r w:rsidRPr="002A5DBB">
        <w:rPr>
          <w:sz w:val="23"/>
          <w:szCs w:val="23"/>
        </w:rPr>
        <w:t xml:space="preserve">" are ca obiectiv </w:t>
      </w:r>
      <w:r w:rsidR="00E80976">
        <w:rPr>
          <w:sz w:val="23"/>
          <w:szCs w:val="23"/>
        </w:rPr>
        <w:t>familiarizarea participanților cu cele mai importante lucrări din domeniul științelor sociale din perioada recentă (sfârșitul secolului XIX și începutul secolului XX)</w:t>
      </w:r>
      <w:r w:rsidRPr="002A5DBB">
        <w:rPr>
          <w:sz w:val="23"/>
          <w:szCs w:val="23"/>
        </w:rPr>
        <w:t>.</w:t>
      </w:r>
      <w:r w:rsidR="00E80976">
        <w:rPr>
          <w:sz w:val="23"/>
          <w:szCs w:val="23"/>
        </w:rPr>
        <w:t xml:space="preserve"> Cursul urmărește să ghideze participanții în înțelegerea modului în care paradigme ale științelor sociale au fost înțelese și adaptate analizei sociale și politice asupra unor probleme ale societății din spațiul geografic al României. De asemenea, cursul își propune să ofere exemple pe care participanții să le poată folosi ulterior în propriile demersuri de analiză, în special în modalitatea de abordare a lucrării de licență. Modalitatea de descriere a unei teorii paradigmatice, utilizarea unei metodologii și derularea unui proces de analiză științifică a unei probleme curente la nivel politic și social, reprezintă pași fundamentali pe care studenții și studentele ar trebui să îi poată parcurge pentru finalizarea cu succes a lucrării de licență și absolvirea programului de studii.</w:t>
      </w: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599C1F99" w14:textId="59499629" w:rsidR="002A5DBB" w:rsidRPr="002A5DBB" w:rsidRDefault="002A5DBB" w:rsidP="002A5DBB">
      <w:pPr>
        <w:pStyle w:val="Default"/>
        <w:spacing w:line="360" w:lineRule="auto"/>
        <w:ind w:left="360" w:right="-567"/>
        <w:jc w:val="both"/>
      </w:pPr>
      <w:r w:rsidRPr="002A5DBB">
        <w:t xml:space="preserve">B1. </w:t>
      </w:r>
      <w:r w:rsidRPr="002A5DBB">
        <w:rPr>
          <w:b/>
          <w:bCs/>
        </w:rPr>
        <w:t>de curriculum</w:t>
      </w:r>
      <w:r w:rsidRPr="002A5DBB">
        <w:tab/>
        <w:t>-</w:t>
      </w:r>
      <w:r>
        <w:t xml:space="preserve"> </w:t>
      </w:r>
      <w:r w:rsidRPr="002A5DBB">
        <w:t xml:space="preserve"> absolvirea cursului ”</w:t>
      </w:r>
      <w:r w:rsidR="00E80976">
        <w:t>Istoria</w:t>
      </w:r>
      <w:r w:rsidR="00F01CE7">
        <w:t xml:space="preserve"> gândirii sociale și politice</w:t>
      </w:r>
      <w:r w:rsidRPr="002A5DBB">
        <w:t>”; absolvirea cursului ”</w:t>
      </w:r>
      <w:r w:rsidR="00F01CE7">
        <w:t>Gândire critică și scriere academică</w:t>
      </w:r>
      <w:r w:rsidRPr="002A5DBB">
        <w:t>”</w:t>
      </w:r>
      <w:r w:rsidR="00F01CE7">
        <w:t>.</w:t>
      </w:r>
    </w:p>
    <w:p w14:paraId="5863D77F" w14:textId="77777777" w:rsidR="002A5DBB" w:rsidRDefault="002A5DBB" w:rsidP="002A5DBB">
      <w:pPr>
        <w:pStyle w:val="Default"/>
        <w:spacing w:line="360" w:lineRule="auto"/>
        <w:ind w:left="360" w:right="-567"/>
        <w:jc w:val="both"/>
      </w:pPr>
      <w:r w:rsidRPr="002A5DBB">
        <w:t xml:space="preserve">B2.  </w:t>
      </w:r>
      <w:r w:rsidRPr="002A5DBB">
        <w:rPr>
          <w:b/>
          <w:bCs/>
        </w:rPr>
        <w:t>de competenţe</w:t>
      </w:r>
    </w:p>
    <w:p w14:paraId="7CD8D951" w14:textId="77777777" w:rsidR="002A5DBB" w:rsidRDefault="002A5DBB" w:rsidP="002A5DBB">
      <w:pPr>
        <w:pStyle w:val="Default"/>
        <w:numPr>
          <w:ilvl w:val="0"/>
          <w:numId w:val="16"/>
        </w:numPr>
        <w:spacing w:line="360" w:lineRule="auto"/>
        <w:ind w:right="-567"/>
        <w:jc w:val="both"/>
      </w:pPr>
      <w:r w:rsidRPr="002A5DBB">
        <w:t>capacitatea de a aloca timp învățatului</w:t>
      </w:r>
    </w:p>
    <w:p w14:paraId="57992F4E" w14:textId="77777777" w:rsidR="002A5DBB" w:rsidRDefault="002A5DBB" w:rsidP="002A5DBB">
      <w:pPr>
        <w:pStyle w:val="Default"/>
        <w:numPr>
          <w:ilvl w:val="0"/>
          <w:numId w:val="16"/>
        </w:numPr>
        <w:spacing w:line="360" w:lineRule="auto"/>
        <w:ind w:right="-567"/>
        <w:jc w:val="both"/>
      </w:pPr>
      <w:r w:rsidRPr="002A5DBB">
        <w:t>autonomie, disciplina, perseverenta in procesul de învățare</w:t>
      </w:r>
    </w:p>
    <w:p w14:paraId="0DA37982" w14:textId="77777777" w:rsidR="002A5DBB" w:rsidRDefault="002A5DBB" w:rsidP="002A5DBB">
      <w:pPr>
        <w:pStyle w:val="Default"/>
        <w:numPr>
          <w:ilvl w:val="0"/>
          <w:numId w:val="16"/>
        </w:numPr>
        <w:spacing w:line="360" w:lineRule="auto"/>
        <w:ind w:right="-567"/>
        <w:jc w:val="both"/>
      </w:pPr>
      <w:r w:rsidRPr="002A5DBB">
        <w:t>capacitatea de concentrare pe termen scurt si pe termen lung</w:t>
      </w:r>
    </w:p>
    <w:p w14:paraId="5E9B4578" w14:textId="77777777" w:rsidR="002A5DBB" w:rsidRDefault="002A5DBB" w:rsidP="002A5DBB">
      <w:pPr>
        <w:pStyle w:val="Default"/>
        <w:numPr>
          <w:ilvl w:val="0"/>
          <w:numId w:val="16"/>
        </w:numPr>
        <w:spacing w:line="360" w:lineRule="auto"/>
        <w:ind w:right="-567"/>
        <w:jc w:val="both"/>
      </w:pPr>
      <w:r w:rsidRPr="002A5DBB">
        <w:t>capacitatea de a reflecta critic asupra obiectului si scopului învățării</w:t>
      </w:r>
    </w:p>
    <w:p w14:paraId="763EDA1A" w14:textId="77777777" w:rsidR="002A5DBB" w:rsidRDefault="002A5DBB" w:rsidP="002A5DBB">
      <w:pPr>
        <w:pStyle w:val="Default"/>
        <w:numPr>
          <w:ilvl w:val="0"/>
          <w:numId w:val="16"/>
        </w:numPr>
        <w:spacing w:line="360" w:lineRule="auto"/>
        <w:ind w:right="-567"/>
        <w:jc w:val="both"/>
      </w:pPr>
      <w:r w:rsidRPr="002A5DBB">
        <w:t>capacitatea de a citi si înțelege diferite texte adoptând strategia potrivita scopului citirii (informare / instruire / de plăcere) si diferitelor tipuri de text</w:t>
      </w:r>
    </w:p>
    <w:p w14:paraId="04097E68" w14:textId="77777777" w:rsidR="002A5DBB" w:rsidRDefault="002A5DBB" w:rsidP="002A5DBB">
      <w:pPr>
        <w:pStyle w:val="Default"/>
        <w:numPr>
          <w:ilvl w:val="0"/>
          <w:numId w:val="16"/>
        </w:numPr>
        <w:spacing w:line="360" w:lineRule="auto"/>
        <w:ind w:right="-567"/>
        <w:jc w:val="both"/>
      </w:pPr>
      <w:r w:rsidRPr="002A5DBB">
        <w:t>capacitatea de a distinge informația relevanta de cea nerelevanta</w:t>
      </w:r>
    </w:p>
    <w:p w14:paraId="255C803E" w14:textId="64B16200" w:rsidR="0077251B" w:rsidRPr="002A5DBB" w:rsidRDefault="002A5DBB" w:rsidP="002A5DBB">
      <w:pPr>
        <w:pStyle w:val="Default"/>
        <w:numPr>
          <w:ilvl w:val="0"/>
          <w:numId w:val="16"/>
        </w:numPr>
        <w:spacing w:line="360" w:lineRule="auto"/>
        <w:ind w:right="-567"/>
        <w:jc w:val="both"/>
      </w:pPr>
      <w:r w:rsidRPr="002A5DBB">
        <w:t>capacitatea de a-ti formula propriile argumente într-o maniera convingătoare si a lua in considerație alte puncte de vedere exprimate atât verbal cat si in scris</w:t>
      </w: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1A80E031" w14:textId="77777777" w:rsidR="002A5DBB" w:rsidRPr="002A5DBB" w:rsidRDefault="002A5DBB" w:rsidP="002A5DBB">
      <w:pPr>
        <w:pStyle w:val="Default"/>
        <w:spacing w:line="360" w:lineRule="auto"/>
        <w:jc w:val="both"/>
      </w:pPr>
      <w:r w:rsidRPr="002A5DBB">
        <w:t>Competenţe profesionale</w:t>
      </w:r>
      <w:r w:rsidRPr="002A5DBB">
        <w:tab/>
      </w:r>
    </w:p>
    <w:p w14:paraId="3184C5CA" w14:textId="46B8CDA6" w:rsidR="002A5DBB" w:rsidRPr="002A5DBB" w:rsidRDefault="002A5DBB" w:rsidP="002A5DBB">
      <w:pPr>
        <w:pStyle w:val="Default"/>
        <w:numPr>
          <w:ilvl w:val="0"/>
          <w:numId w:val="17"/>
        </w:numPr>
        <w:spacing w:line="360" w:lineRule="auto"/>
        <w:jc w:val="both"/>
      </w:pPr>
      <w:r w:rsidRPr="002A5DBB">
        <w:t>Aptitudini si competente stiintifice si tehnologice:</w:t>
      </w:r>
    </w:p>
    <w:p w14:paraId="4DA496E5" w14:textId="139F1D0B" w:rsidR="002A5DBB" w:rsidRPr="002A5DBB" w:rsidRDefault="002A5DBB" w:rsidP="002A5DBB">
      <w:pPr>
        <w:pStyle w:val="Default"/>
        <w:numPr>
          <w:ilvl w:val="0"/>
          <w:numId w:val="18"/>
        </w:numPr>
        <w:spacing w:line="360" w:lineRule="auto"/>
        <w:jc w:val="both"/>
      </w:pPr>
      <w:r w:rsidRPr="002A5DBB">
        <w:t xml:space="preserve">capacitatea de a utiliza si manipula computerul și programele de </w:t>
      </w:r>
      <w:r w:rsidR="0069313E">
        <w:t>editare a textelor și realizare a prezentărilor</w:t>
      </w:r>
      <w:r w:rsidRPr="002A5DBB">
        <w:t>.</w:t>
      </w:r>
    </w:p>
    <w:p w14:paraId="3E3DB817" w14:textId="1EFD928F" w:rsidR="002A5DBB" w:rsidRPr="002A5DBB" w:rsidRDefault="002A5DBB" w:rsidP="002A5DBB">
      <w:pPr>
        <w:pStyle w:val="Default"/>
        <w:numPr>
          <w:ilvl w:val="0"/>
          <w:numId w:val="18"/>
        </w:numPr>
        <w:spacing w:line="360" w:lineRule="auto"/>
        <w:jc w:val="both"/>
      </w:pPr>
      <w:r w:rsidRPr="002A5DBB">
        <w:t xml:space="preserve">capacitatea de a identifica </w:t>
      </w:r>
      <w:r w:rsidR="0069313E">
        <w:t>concepte</w:t>
      </w:r>
      <w:r w:rsidRPr="002A5DBB">
        <w:t xml:space="preserve"> specifice din domeniul </w:t>
      </w:r>
      <w:r w:rsidR="004706E4">
        <w:t>teoriilor politice</w:t>
      </w:r>
    </w:p>
    <w:p w14:paraId="3B7124F8" w14:textId="54978501" w:rsidR="00BB539B" w:rsidRDefault="002A5DBB" w:rsidP="00BB539B">
      <w:pPr>
        <w:pStyle w:val="Default"/>
        <w:numPr>
          <w:ilvl w:val="0"/>
          <w:numId w:val="18"/>
        </w:numPr>
        <w:spacing w:line="360" w:lineRule="auto"/>
        <w:jc w:val="both"/>
      </w:pPr>
      <w:r w:rsidRPr="002A5DBB">
        <w:t xml:space="preserve">capacitatea de a comunica concluziile unei </w:t>
      </w:r>
      <w:r w:rsidR="004706E4">
        <w:t>analize a unui text de stiinte sociale.</w:t>
      </w:r>
    </w:p>
    <w:p w14:paraId="144A502E" w14:textId="014B2904" w:rsidR="002A5DBB" w:rsidRPr="002A5DBB" w:rsidRDefault="002A5DBB" w:rsidP="00BB539B">
      <w:pPr>
        <w:pStyle w:val="Default"/>
        <w:numPr>
          <w:ilvl w:val="0"/>
          <w:numId w:val="17"/>
        </w:numPr>
        <w:spacing w:line="360" w:lineRule="auto"/>
        <w:jc w:val="both"/>
      </w:pPr>
      <w:r w:rsidRPr="002A5DBB">
        <w:t>Aptitudini si competente civice, interpersonale, interculturale si sociale</w:t>
      </w:r>
    </w:p>
    <w:p w14:paraId="01F2C184" w14:textId="43AED6DF" w:rsidR="002A5DBB" w:rsidRPr="002A5DBB" w:rsidRDefault="002A5DBB" w:rsidP="00BB539B">
      <w:pPr>
        <w:pStyle w:val="Default"/>
        <w:numPr>
          <w:ilvl w:val="0"/>
          <w:numId w:val="20"/>
        </w:numPr>
        <w:spacing w:line="360" w:lineRule="auto"/>
        <w:jc w:val="both"/>
      </w:pPr>
      <w:r w:rsidRPr="002A5DBB">
        <w:t xml:space="preserve">capacitatea de a manifesta solidaritate in a </w:t>
      </w:r>
      <w:r w:rsidR="004706E4">
        <w:t>descrie și analiza probleme sociale și politice</w:t>
      </w:r>
      <w:r w:rsidRPr="002A5DBB">
        <w:t>.</w:t>
      </w:r>
    </w:p>
    <w:p w14:paraId="58F69F65" w14:textId="69AD4476" w:rsidR="002A5DBB" w:rsidRPr="002A5DBB" w:rsidRDefault="002A5DBB" w:rsidP="00BB539B">
      <w:pPr>
        <w:pStyle w:val="Default"/>
        <w:numPr>
          <w:ilvl w:val="0"/>
          <w:numId w:val="20"/>
        </w:numPr>
        <w:spacing w:line="360" w:lineRule="auto"/>
        <w:jc w:val="both"/>
      </w:pPr>
      <w:r w:rsidRPr="002A5DBB">
        <w:t>capacitatea de a relationa eficient cu institutii din domeniul public în demersul de cunoaștere a unei problematici specifice</w:t>
      </w:r>
    </w:p>
    <w:p w14:paraId="084DD99D" w14:textId="1E1AF884" w:rsidR="002A5DBB" w:rsidRPr="002A5DBB" w:rsidRDefault="002A5DBB" w:rsidP="00BB539B">
      <w:pPr>
        <w:pStyle w:val="Default"/>
        <w:numPr>
          <w:ilvl w:val="0"/>
          <w:numId w:val="20"/>
        </w:numPr>
        <w:spacing w:line="360" w:lineRule="auto"/>
        <w:jc w:val="both"/>
      </w:pPr>
      <w:r w:rsidRPr="002A5DBB">
        <w:lastRenderedPageBreak/>
        <w:t>capacitatea de a comunica constructiv in situatii sociale diferite (a tolera alte puncte de vedere, a constientiza responsabilitatea individuala si colectiva), în special prin organizarea unor dezbateri</w:t>
      </w:r>
    </w:p>
    <w:p w14:paraId="2DA20014" w14:textId="5BE6BAD7" w:rsidR="002A5DBB" w:rsidRPr="002A5DBB" w:rsidRDefault="002A5DBB" w:rsidP="00BB539B">
      <w:pPr>
        <w:pStyle w:val="Default"/>
        <w:numPr>
          <w:ilvl w:val="0"/>
          <w:numId w:val="20"/>
        </w:numPr>
        <w:spacing w:line="360" w:lineRule="auto"/>
        <w:jc w:val="both"/>
      </w:pPr>
      <w:r w:rsidRPr="002A5DBB">
        <w:t>capacitatea de a separa intre viata personala si cea profesionala</w:t>
      </w:r>
    </w:p>
    <w:p w14:paraId="3AE9C0E7" w14:textId="0544A754" w:rsidR="002A5DBB" w:rsidRPr="002A5DBB" w:rsidRDefault="002A5DBB" w:rsidP="00BB539B">
      <w:pPr>
        <w:pStyle w:val="Default"/>
        <w:numPr>
          <w:ilvl w:val="0"/>
          <w:numId w:val="20"/>
        </w:numPr>
        <w:spacing w:line="360" w:lineRule="auto"/>
        <w:jc w:val="both"/>
      </w:pPr>
      <w:r w:rsidRPr="002A5DBB">
        <w:t xml:space="preserve">capacitatea de a constientiza si intelege în context european și internațional comparativ </w:t>
      </w:r>
      <w:r w:rsidR="004706E4">
        <w:t>problematica specifică domeniului științei politice și a altor științe sociale conexe.</w:t>
      </w:r>
    </w:p>
    <w:p w14:paraId="71278682" w14:textId="77777777" w:rsidR="002A5DBB" w:rsidRPr="002A5DBB" w:rsidRDefault="002A5DBB" w:rsidP="002A5DBB">
      <w:pPr>
        <w:pStyle w:val="Default"/>
        <w:spacing w:line="360" w:lineRule="auto"/>
        <w:jc w:val="both"/>
      </w:pPr>
      <w:r w:rsidRPr="002A5DBB">
        <w:t>Competenţe transversale</w:t>
      </w:r>
    </w:p>
    <w:p w14:paraId="6639354D" w14:textId="679DE260" w:rsidR="002A5DBB" w:rsidRDefault="002A5DBB" w:rsidP="002A5DBB">
      <w:pPr>
        <w:pStyle w:val="Default"/>
        <w:numPr>
          <w:ilvl w:val="0"/>
          <w:numId w:val="19"/>
        </w:numPr>
        <w:spacing w:line="360" w:lineRule="auto"/>
        <w:jc w:val="both"/>
      </w:pPr>
      <w:r w:rsidRPr="002A5DBB">
        <w:t>Utilizarea pe tot parcursul activităților a competențelor digitale: utilizarea surselor academice de informare, prin consultarea bazelor de date cu articole academice; utilizarea programelor pentru redactare de text, analiză de date, prezentare, etc. utilizarea unei platforme online (</w:t>
      </w:r>
      <w:r w:rsidR="00BB539B">
        <w:t>e.politice.ro</w:t>
      </w:r>
      <w:r w:rsidRPr="002A5DBB">
        <w:t>) pentru organizarea unor activități online cu rol educational.</w:t>
      </w:r>
    </w:p>
    <w:p w14:paraId="0671D999" w14:textId="6ED7B1FB" w:rsidR="009A088D" w:rsidRPr="002A5DBB" w:rsidRDefault="002A5DBB" w:rsidP="002A5DBB">
      <w:pPr>
        <w:pStyle w:val="Default"/>
        <w:numPr>
          <w:ilvl w:val="0"/>
          <w:numId w:val="19"/>
        </w:numPr>
        <w:spacing w:line="360" w:lineRule="auto"/>
        <w:jc w:val="both"/>
      </w:pPr>
      <w:r w:rsidRPr="002A5DBB">
        <w:t>Competențe civice și sociale, altele decât cele fundamentale, sunt parțial realizate, în funcție de tematică, gradul de dificultate și complexitate și interesele persoanle ale participanților și participantelor la curs și seminar, cu privire la politica educațională sau proiectul de cercetare științifică propus.</w:t>
      </w: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6C2E044C" w14:textId="7ECF8F34" w:rsidR="00BB539B" w:rsidRDefault="004706E4" w:rsidP="00F21297">
      <w:pPr>
        <w:spacing w:after="0" w:line="360" w:lineRule="auto"/>
        <w:ind w:right="-567"/>
        <w:jc w:val="both"/>
        <w:rPr>
          <w:rFonts w:ascii="Times New Roman" w:hAnsi="Times New Roman"/>
          <w:sz w:val="24"/>
          <w:szCs w:val="24"/>
        </w:rPr>
      </w:pPr>
      <w:r>
        <w:rPr>
          <w:rFonts w:ascii="Times New Roman" w:hAnsi="Times New Roman"/>
          <w:sz w:val="24"/>
          <w:szCs w:val="24"/>
        </w:rPr>
        <w:t>În cadrul cursului și al seminarului vor fi abordate următoarele teme generale de analiză:</w:t>
      </w:r>
    </w:p>
    <w:p w14:paraId="7BB5B9E5" w14:textId="09388DD7" w:rsidR="004706E4" w:rsidRPr="004706E4" w:rsidRDefault="004706E4" w:rsidP="004706E4">
      <w:pPr>
        <w:pStyle w:val="ListParagraph"/>
        <w:numPr>
          <w:ilvl w:val="0"/>
          <w:numId w:val="21"/>
        </w:numPr>
        <w:spacing w:after="0" w:line="360" w:lineRule="auto"/>
        <w:ind w:right="-567"/>
        <w:jc w:val="both"/>
        <w:rPr>
          <w:rFonts w:ascii="Times New Roman" w:hAnsi="Times New Roman"/>
          <w:sz w:val="24"/>
          <w:szCs w:val="24"/>
        </w:rPr>
      </w:pPr>
      <w:r w:rsidRPr="004706E4">
        <w:rPr>
          <w:rFonts w:ascii="Times New Roman" w:hAnsi="Times New Roman"/>
          <w:sz w:val="24"/>
          <w:szCs w:val="24"/>
        </w:rPr>
        <w:t>Națiuni și naționalism. Ideologia formării statelor naționale în secolul al-XIX și formarea statului român.</w:t>
      </w:r>
    </w:p>
    <w:p w14:paraId="23478150" w14:textId="306024E7" w:rsidR="004706E4" w:rsidRDefault="004706E4" w:rsidP="004706E4">
      <w:pPr>
        <w:pStyle w:val="ListParagraph"/>
        <w:numPr>
          <w:ilvl w:val="0"/>
          <w:numId w:val="21"/>
        </w:numPr>
        <w:spacing w:after="0" w:line="360" w:lineRule="auto"/>
        <w:ind w:right="-567"/>
        <w:jc w:val="both"/>
        <w:rPr>
          <w:rFonts w:ascii="Times New Roman" w:hAnsi="Times New Roman"/>
          <w:sz w:val="24"/>
          <w:szCs w:val="24"/>
        </w:rPr>
      </w:pPr>
      <w:r>
        <w:rPr>
          <w:rFonts w:ascii="Times New Roman" w:hAnsi="Times New Roman"/>
          <w:sz w:val="24"/>
          <w:szCs w:val="24"/>
        </w:rPr>
        <w:t>Radicali, revoluționari și republicani. Efectele ideologiilor revoluționare asupra țărilor române.</w:t>
      </w:r>
    </w:p>
    <w:p w14:paraId="737485AF" w14:textId="297A86BC" w:rsidR="004706E4" w:rsidRDefault="004706E4" w:rsidP="004706E4">
      <w:pPr>
        <w:pStyle w:val="ListParagraph"/>
        <w:numPr>
          <w:ilvl w:val="0"/>
          <w:numId w:val="21"/>
        </w:numPr>
        <w:spacing w:after="0" w:line="360" w:lineRule="auto"/>
        <w:ind w:right="-567"/>
        <w:jc w:val="both"/>
        <w:rPr>
          <w:rFonts w:ascii="Times New Roman" w:hAnsi="Times New Roman"/>
          <w:sz w:val="24"/>
          <w:szCs w:val="24"/>
        </w:rPr>
      </w:pPr>
      <w:r>
        <w:rPr>
          <w:rFonts w:ascii="Times New Roman" w:hAnsi="Times New Roman"/>
          <w:sz w:val="24"/>
          <w:szCs w:val="24"/>
        </w:rPr>
        <w:t>”Problema femeii” și originile feminismului în România.</w:t>
      </w:r>
    </w:p>
    <w:p w14:paraId="5C8FAD8A" w14:textId="04D14430" w:rsidR="004706E4" w:rsidRDefault="004706E4" w:rsidP="004706E4">
      <w:pPr>
        <w:pStyle w:val="ListParagraph"/>
        <w:numPr>
          <w:ilvl w:val="0"/>
          <w:numId w:val="21"/>
        </w:numPr>
        <w:spacing w:after="0" w:line="360" w:lineRule="auto"/>
        <w:ind w:right="-567"/>
        <w:jc w:val="both"/>
        <w:rPr>
          <w:rFonts w:ascii="Times New Roman" w:hAnsi="Times New Roman"/>
          <w:sz w:val="24"/>
          <w:szCs w:val="24"/>
        </w:rPr>
      </w:pPr>
      <w:r>
        <w:rPr>
          <w:rFonts w:ascii="Times New Roman" w:hAnsi="Times New Roman"/>
          <w:sz w:val="24"/>
          <w:szCs w:val="24"/>
        </w:rPr>
        <w:t xml:space="preserve">Variantele liberalismului (liberalismul constituțional, liberalismul britanic, liberalismul german) și </w:t>
      </w:r>
      <w:r w:rsidR="001E6223">
        <w:rPr>
          <w:rFonts w:ascii="Times New Roman" w:hAnsi="Times New Roman"/>
          <w:sz w:val="24"/>
          <w:szCs w:val="24"/>
        </w:rPr>
        <w:t>formele acestuia în perioada interbelică.</w:t>
      </w:r>
    </w:p>
    <w:p w14:paraId="6B3189A0" w14:textId="5CA166CF" w:rsidR="001E6223" w:rsidRDefault="001E6223" w:rsidP="004706E4">
      <w:pPr>
        <w:pStyle w:val="ListParagraph"/>
        <w:numPr>
          <w:ilvl w:val="0"/>
          <w:numId w:val="21"/>
        </w:numPr>
        <w:spacing w:after="0" w:line="360" w:lineRule="auto"/>
        <w:ind w:right="-567"/>
        <w:jc w:val="both"/>
        <w:rPr>
          <w:rFonts w:ascii="Times New Roman" w:hAnsi="Times New Roman"/>
          <w:sz w:val="24"/>
          <w:szCs w:val="24"/>
        </w:rPr>
      </w:pPr>
      <w:r>
        <w:rPr>
          <w:rFonts w:ascii="Times New Roman" w:hAnsi="Times New Roman"/>
          <w:sz w:val="24"/>
          <w:szCs w:val="24"/>
        </w:rPr>
        <w:t>Minorități etnice, sclavagism, discriminare și emancipare în perspectiva politicilor sociale.</w:t>
      </w:r>
    </w:p>
    <w:p w14:paraId="083A5777" w14:textId="522921AC" w:rsidR="001E6223" w:rsidRDefault="001E6223" w:rsidP="004706E4">
      <w:pPr>
        <w:pStyle w:val="ListParagraph"/>
        <w:numPr>
          <w:ilvl w:val="0"/>
          <w:numId w:val="21"/>
        </w:numPr>
        <w:spacing w:after="0" w:line="360" w:lineRule="auto"/>
        <w:ind w:right="-567"/>
        <w:jc w:val="both"/>
        <w:rPr>
          <w:rFonts w:ascii="Times New Roman" w:hAnsi="Times New Roman"/>
          <w:sz w:val="24"/>
          <w:szCs w:val="24"/>
        </w:rPr>
      </w:pPr>
      <w:r>
        <w:rPr>
          <w:rFonts w:ascii="Times New Roman" w:hAnsi="Times New Roman"/>
          <w:sz w:val="24"/>
          <w:szCs w:val="24"/>
        </w:rPr>
        <w:t xml:space="preserve">Marxismul și analiza inegalităților sociale și economice. </w:t>
      </w:r>
    </w:p>
    <w:p w14:paraId="0EFD972F" w14:textId="0F25CC51" w:rsidR="001E6223" w:rsidRPr="004706E4" w:rsidRDefault="001E6223" w:rsidP="004706E4">
      <w:pPr>
        <w:pStyle w:val="ListParagraph"/>
        <w:numPr>
          <w:ilvl w:val="0"/>
          <w:numId w:val="21"/>
        </w:numPr>
        <w:spacing w:after="0" w:line="360" w:lineRule="auto"/>
        <w:ind w:right="-567"/>
        <w:jc w:val="both"/>
        <w:rPr>
          <w:rFonts w:ascii="Times New Roman" w:hAnsi="Times New Roman"/>
          <w:sz w:val="24"/>
          <w:szCs w:val="24"/>
        </w:rPr>
      </w:pPr>
      <w:r>
        <w:rPr>
          <w:rFonts w:ascii="Times New Roman" w:hAnsi="Times New Roman"/>
          <w:sz w:val="24"/>
          <w:szCs w:val="24"/>
        </w:rPr>
        <w:t>Decalaje economice și influența capitalismului asupra dezvoltării sociale și politice a României moderne.</w:t>
      </w:r>
    </w:p>
    <w:p w14:paraId="255C813C" w14:textId="2A8FDD6A"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65B28DBC" w:rsidR="00A22B49" w:rsidRPr="001014E2" w:rsidRDefault="00BB539B" w:rsidP="00097AD5">
            <w:pPr>
              <w:spacing w:after="0" w:line="360" w:lineRule="auto"/>
              <w:rPr>
                <w:rFonts w:ascii="Times New Roman" w:hAnsi="Times New Roman"/>
                <w:sz w:val="24"/>
                <w:szCs w:val="24"/>
              </w:rPr>
            </w:pPr>
            <w:r>
              <w:rPr>
                <w:rFonts w:ascii="Times New Roman" w:hAnsi="Times New Roman"/>
                <w:sz w:val="24"/>
                <w:szCs w:val="24"/>
              </w:rPr>
              <w:t>Evaluare continuă</w:t>
            </w:r>
          </w:p>
        </w:tc>
        <w:tc>
          <w:tcPr>
            <w:tcW w:w="3248" w:type="dxa"/>
            <w:shd w:val="clear" w:color="auto" w:fill="auto"/>
          </w:tcPr>
          <w:p w14:paraId="255C8144" w14:textId="70F587C7" w:rsidR="00A22B49" w:rsidRPr="001014E2" w:rsidRDefault="00BB539B" w:rsidP="00097AD5">
            <w:pPr>
              <w:spacing w:after="0" w:line="360" w:lineRule="auto"/>
              <w:rPr>
                <w:rFonts w:ascii="Times New Roman" w:hAnsi="Times New Roman"/>
                <w:sz w:val="24"/>
                <w:szCs w:val="24"/>
              </w:rPr>
            </w:pPr>
            <w:r>
              <w:rPr>
                <w:rFonts w:ascii="Times New Roman" w:hAnsi="Times New Roman"/>
                <w:sz w:val="24"/>
                <w:szCs w:val="24"/>
              </w:rPr>
              <w:t>50%</w:t>
            </w:r>
          </w:p>
        </w:tc>
      </w:tr>
      <w:tr w:rsidR="00A22B49" w:rsidRPr="001014E2" w14:paraId="255C8149" w14:textId="77777777" w:rsidTr="006534C4">
        <w:tc>
          <w:tcPr>
            <w:tcW w:w="3265"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6B056CF1" w:rsidR="00A22B49" w:rsidRPr="001014E2" w:rsidRDefault="00BB539B" w:rsidP="001C551C">
            <w:pPr>
              <w:spacing w:after="0" w:line="360" w:lineRule="auto"/>
              <w:rPr>
                <w:rFonts w:ascii="Times New Roman" w:hAnsi="Times New Roman"/>
                <w:sz w:val="24"/>
                <w:szCs w:val="24"/>
              </w:rPr>
            </w:pPr>
            <w:r>
              <w:rPr>
                <w:rFonts w:ascii="Times New Roman" w:hAnsi="Times New Roman"/>
                <w:sz w:val="24"/>
                <w:szCs w:val="24"/>
              </w:rPr>
              <w:t>Evaluarea continuă</w:t>
            </w:r>
          </w:p>
        </w:tc>
        <w:tc>
          <w:tcPr>
            <w:tcW w:w="3248" w:type="dxa"/>
            <w:shd w:val="clear" w:color="auto" w:fill="auto"/>
          </w:tcPr>
          <w:p w14:paraId="255C8148" w14:textId="5FF8197F" w:rsidR="00A22B49" w:rsidRPr="001014E2" w:rsidRDefault="00BB539B" w:rsidP="00097AD5">
            <w:pPr>
              <w:spacing w:after="0" w:line="360" w:lineRule="auto"/>
              <w:rPr>
                <w:rFonts w:ascii="Times New Roman" w:hAnsi="Times New Roman"/>
                <w:sz w:val="24"/>
                <w:szCs w:val="24"/>
              </w:rPr>
            </w:pPr>
            <w:r>
              <w:rPr>
                <w:rFonts w:ascii="Times New Roman" w:hAnsi="Times New Roman"/>
                <w:sz w:val="24"/>
                <w:szCs w:val="24"/>
              </w:rPr>
              <w:t>50%</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lastRenderedPageBreak/>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3A0772CF" w:rsidR="006E4380" w:rsidRPr="001014E2" w:rsidRDefault="008123EF" w:rsidP="008123EF">
            <w:pPr>
              <w:spacing w:after="0" w:line="240" w:lineRule="auto"/>
              <w:jc w:val="both"/>
              <w:rPr>
                <w:rFonts w:ascii="Times New Roman" w:hAnsi="Times New Roman"/>
                <w:iCs/>
                <w:sz w:val="24"/>
                <w:szCs w:val="24"/>
              </w:rPr>
            </w:pPr>
            <w:r>
              <w:rPr>
                <w:rFonts w:ascii="Times New Roman" w:hAnsi="Times New Roman"/>
                <w:iCs/>
                <w:sz w:val="24"/>
                <w:szCs w:val="24"/>
              </w:rPr>
              <w:t xml:space="preserve">Absolvenții trebuie să dovedească: </w:t>
            </w:r>
            <w:r w:rsidRPr="008123EF">
              <w:rPr>
                <w:rFonts w:ascii="Times New Roman" w:hAnsi="Times New Roman"/>
                <w:iCs/>
                <w:sz w:val="24"/>
                <w:szCs w:val="24"/>
              </w:rPr>
              <w:t xml:space="preserve">capacitatea de </w:t>
            </w:r>
            <w:r w:rsidR="001E6223" w:rsidRPr="001E6223">
              <w:rPr>
                <w:rFonts w:ascii="Times New Roman" w:hAnsi="Times New Roman"/>
                <w:iCs/>
                <w:sz w:val="24"/>
                <w:szCs w:val="24"/>
              </w:rPr>
              <w:t>a conștientiza si înțelege</w:t>
            </w:r>
            <w:r w:rsidR="001E6223">
              <w:rPr>
                <w:rFonts w:ascii="Times New Roman" w:hAnsi="Times New Roman"/>
                <w:iCs/>
                <w:sz w:val="24"/>
                <w:szCs w:val="24"/>
              </w:rPr>
              <w:t xml:space="preserve"> caracteristicile unor subiecte de analiză în științele sociale</w:t>
            </w:r>
            <w:r>
              <w:rPr>
                <w:rFonts w:ascii="Times New Roman" w:hAnsi="Times New Roman"/>
                <w:iCs/>
                <w:sz w:val="24"/>
                <w:szCs w:val="24"/>
              </w:rPr>
              <w:t xml:space="preserve">; </w:t>
            </w:r>
            <w:r w:rsidRPr="008123EF">
              <w:rPr>
                <w:rFonts w:ascii="Times New Roman" w:hAnsi="Times New Roman"/>
                <w:iCs/>
                <w:sz w:val="24"/>
                <w:szCs w:val="24"/>
              </w:rPr>
              <w:t>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w:t>
            </w:r>
          </w:p>
        </w:tc>
      </w:tr>
      <w:tr w:rsidR="00745C76" w:rsidRPr="001014E2" w14:paraId="255C8155" w14:textId="77777777" w:rsidTr="001E6223">
        <w:trPr>
          <w:trHeight w:val="4607"/>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255C8154" w14:textId="46EA28BF" w:rsidR="00577637" w:rsidRPr="00881B79" w:rsidRDefault="00BB539B" w:rsidP="00BB539B">
            <w:pPr>
              <w:pStyle w:val="Default"/>
              <w:jc w:val="both"/>
            </w:pPr>
            <w:r>
              <w:t xml:space="preserve">Absolvenții cursului trebuie să dovedească: </w:t>
            </w:r>
            <w:r w:rsidRPr="002A5DBB">
              <w:t xml:space="preserve">capacitatea de a manifesta solidaritate </w:t>
            </w:r>
            <w:r w:rsidR="001E6223">
              <w:t>în înțelegerea provocărilor sociale și economice specifice societății moderne</w:t>
            </w:r>
            <w:r>
              <w:t xml:space="preserve">; </w:t>
            </w:r>
            <w:r w:rsidRPr="002A5DBB">
              <w:t>capacitatea de a relationa eficient cu institutii din domeniul public în demersul de cunoaștere a unei problematici specifice</w:t>
            </w:r>
            <w:r>
              <w:t xml:space="preserve">; </w:t>
            </w:r>
            <w:r w:rsidRPr="002A5DBB">
              <w:t>capacitatea de a comunica constructiv in situatii sociale diferite (a tolera alte puncte de vedere, a constientiza responsabilitatea individuala si colectiva), în special prin organizarea unor dezbateri</w:t>
            </w:r>
            <w:r>
              <w:t xml:space="preserve">; </w:t>
            </w:r>
            <w:r w:rsidRPr="002A5DBB">
              <w:t>capacitatea de a separa intre viata personala si cea profesionala</w:t>
            </w:r>
            <w:r>
              <w:t xml:space="preserve">; </w:t>
            </w:r>
            <w:r w:rsidRPr="002A5DBB">
              <w:t xml:space="preserve">capacitatea de a constientiza si intelege în context european și internațional comparativ condițiile specifice </w:t>
            </w:r>
            <w:r w:rsidR="001E6223">
              <w:t>evoluției societății românești</w:t>
            </w:r>
            <w:r>
              <w:t xml:space="preserve">. De asemenea absovenții vor trebui să utilizeze pe tot parcursul activităților competențele digitale: 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 </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5D24FC05" w:rsidR="00577637" w:rsidRPr="008123EF"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8123EF">
        <w:rPr>
          <w:rFonts w:ascii="Times New Roman" w:hAnsi="Times New Roman"/>
          <w:sz w:val="24"/>
          <w:szCs w:val="24"/>
        </w:rPr>
        <w:t xml:space="preserve">: Cursul și seminarul sunt organizate pe baza unei strategii de tip </w:t>
      </w:r>
      <w:r w:rsidR="001E6223">
        <w:rPr>
          <w:rFonts w:ascii="Times New Roman" w:hAnsi="Times New Roman"/>
          <w:sz w:val="24"/>
          <w:szCs w:val="24"/>
        </w:rPr>
        <w:t>dialectic. Dialectica este folosită cu sensul ei de ”</w:t>
      </w:r>
      <w:r w:rsidR="001E6223" w:rsidRPr="001E6223">
        <w:rPr>
          <w:rFonts w:ascii="Times New Roman" w:hAnsi="Times New Roman"/>
          <w:sz w:val="24"/>
          <w:szCs w:val="24"/>
        </w:rPr>
        <w:t>Teorie și metodă generală de cercetare a realității, care privește fenomenele ca fiind în strânsă legătură și în condiționare reciprocă”</w:t>
      </w:r>
      <w:r w:rsidR="001E6223">
        <w:rPr>
          <w:rFonts w:ascii="Times New Roman" w:hAnsi="Times New Roman"/>
          <w:sz w:val="24"/>
          <w:szCs w:val="24"/>
        </w:rPr>
        <w:t xml:space="preserve">. Participanții la curs vor trebui să analizeze fenomenele sociale, cunoscute la nivel istoric, din perspectiva abordărilor teoretice diferite. Astfel ei vor putea </w:t>
      </w:r>
      <w:r w:rsidR="00BA61BB">
        <w:rPr>
          <w:rFonts w:ascii="Times New Roman" w:hAnsi="Times New Roman"/>
          <w:sz w:val="24"/>
          <w:szCs w:val="24"/>
        </w:rPr>
        <w:t xml:space="preserve">analiza și înțelege factorii care determină o anumită stare de fapt, dar să și identifice factorii care duc la un anumit tip de aranjament social și politic. </w:t>
      </w:r>
    </w:p>
    <w:p w14:paraId="255C8159" w14:textId="2FF0C557"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r w:rsidR="008123EF">
        <w:rPr>
          <w:rFonts w:ascii="Times New Roman" w:hAnsi="Times New Roman"/>
          <w:b/>
          <w:sz w:val="24"/>
          <w:szCs w:val="24"/>
        </w:rPr>
        <w:t xml:space="preserve"> Nu sunt necesare astfel de materiale. Consumabile (precum flipchart / carioci / tabla) si ocazional proiector si laptop sunt necesare pentru derularea activitatilor față în față. </w:t>
      </w:r>
    </w:p>
    <w:p w14:paraId="06D06DAC" w14:textId="7ACB9CED" w:rsidR="009A088D" w:rsidRDefault="009A088D" w:rsidP="00097AD5">
      <w:pPr>
        <w:spacing w:line="360" w:lineRule="auto"/>
        <w:rPr>
          <w:rFonts w:ascii="Times New Roman" w:hAnsi="Times New Roman"/>
          <w:b/>
          <w:bCs/>
          <w:sz w:val="24"/>
          <w:szCs w:val="24"/>
        </w:rPr>
      </w:pPr>
      <w:r w:rsidRPr="009A088D">
        <w:rPr>
          <w:rFonts w:ascii="Times New Roman" w:hAnsi="Times New Roman"/>
          <w:b/>
          <w:bCs/>
          <w:sz w:val="24"/>
          <w:szCs w:val="24"/>
        </w:rPr>
        <w:t>G. BIBLIOGRAFIE</w:t>
      </w:r>
    </w:p>
    <w:p w14:paraId="2246CE19"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1. Cioran, Emil. Schimbarea la față a României, Humanitas, Iași, 2011</w:t>
      </w:r>
    </w:p>
    <w:p w14:paraId="115D506E"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2. Gherea C.D, Neoiobăgia. Studiu economico-sociologic al problemei noastre agrare, Editura Viața</w:t>
      </w:r>
    </w:p>
    <w:p w14:paraId="43E33A0B"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românească“, București, 1910.</w:t>
      </w:r>
    </w:p>
    <w:p w14:paraId="7F3686AB"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3. Maiorescu Titu, Opere, I, Editura Minerva, București, 1978.</w:t>
      </w:r>
    </w:p>
    <w:p w14:paraId="69D943AE"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lastRenderedPageBreak/>
        <w:t>4. Manoilescu, Mihail, Secolul corporatismului</w:t>
      </w:r>
    </w:p>
    <w:p w14:paraId="4F066A43"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5. Murgescu, Bogdan. România și Europa. Acumularea decalajelor economice (1550-2010).</w:t>
      </w:r>
    </w:p>
    <w:p w14:paraId="44277670"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Polirom, Iasi, 2010.</w:t>
      </w:r>
    </w:p>
    <w:p w14:paraId="38F78852"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6. Sofia Nădejde: Chestiunea femeilor / Sofia Nadejde. Despre creierul femeii si alti demoni.</w:t>
      </w:r>
    </w:p>
    <w:p w14:paraId="0B357F45"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Antologia textelor publicistice (ediție îngrijită de Maria Cernat și Adina Mocanu);</w:t>
      </w:r>
    </w:p>
    <w:p w14:paraId="1E602680"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7. Stahl Henri H., Gânditori și curente de istorie socială, Editura Universității București, 2001.</w:t>
      </w:r>
    </w:p>
    <w:p w14:paraId="69B1CB53" w14:textId="77777777" w:rsidR="00BA61BB" w:rsidRPr="00BA61BB" w:rsidRDefault="00BA61BB" w:rsidP="00BA61BB">
      <w:pPr>
        <w:pStyle w:val="Default"/>
        <w:spacing w:line="360" w:lineRule="auto"/>
        <w:ind w:right="-567"/>
        <w:rPr>
          <w:color w:val="auto"/>
          <w:sz w:val="20"/>
          <w:szCs w:val="20"/>
        </w:rPr>
      </w:pPr>
      <w:r w:rsidRPr="00BA61BB">
        <w:rPr>
          <w:color w:val="auto"/>
          <w:sz w:val="20"/>
          <w:szCs w:val="20"/>
        </w:rPr>
        <w:t>8. Zeletin Ștefan, Burghezia română. Originea și rolul ei istoric, Editura Cultura Națională,</w:t>
      </w:r>
    </w:p>
    <w:p w14:paraId="255C81A8" w14:textId="692E4441" w:rsidR="00F21297" w:rsidRDefault="00BA61BB" w:rsidP="00BA61BB">
      <w:pPr>
        <w:pStyle w:val="Default"/>
        <w:spacing w:line="360" w:lineRule="auto"/>
        <w:ind w:right="-567"/>
        <w:rPr>
          <w:color w:val="auto"/>
          <w:sz w:val="20"/>
          <w:szCs w:val="20"/>
        </w:rPr>
      </w:pPr>
      <w:r w:rsidRPr="00BA61BB">
        <w:rPr>
          <w:color w:val="auto"/>
          <w:sz w:val="20"/>
          <w:szCs w:val="20"/>
        </w:rPr>
        <w:t>București, 1925.</w:t>
      </w:r>
    </w:p>
    <w:p w14:paraId="2EFD557E" w14:textId="06C82C10" w:rsidR="00BA61BB" w:rsidRDefault="00BA61BB" w:rsidP="00BA61BB">
      <w:pPr>
        <w:pStyle w:val="Default"/>
        <w:spacing w:line="360" w:lineRule="auto"/>
        <w:ind w:right="-567"/>
        <w:rPr>
          <w:color w:val="auto"/>
          <w:sz w:val="20"/>
          <w:szCs w:val="20"/>
        </w:rPr>
      </w:pPr>
      <w:r>
        <w:rPr>
          <w:color w:val="auto"/>
          <w:sz w:val="20"/>
          <w:szCs w:val="20"/>
        </w:rPr>
        <w:t xml:space="preserve">9. </w:t>
      </w:r>
      <w:r w:rsidRPr="00BA61BB">
        <w:rPr>
          <w:color w:val="auto"/>
          <w:sz w:val="20"/>
          <w:szCs w:val="20"/>
        </w:rPr>
        <w:t>Miroiu, Adrian. Fuga de competetie. O perspectiva instituțională asupra societății românești. Polirom, Iași, 2016</w:t>
      </w:r>
    </w:p>
    <w:p w14:paraId="484F0EFE" w14:textId="60AFE892" w:rsidR="00BA61BB" w:rsidRDefault="00BA61BB" w:rsidP="00BA61BB">
      <w:pPr>
        <w:pStyle w:val="Default"/>
        <w:spacing w:line="360" w:lineRule="auto"/>
        <w:ind w:right="-567"/>
        <w:rPr>
          <w:color w:val="auto"/>
          <w:sz w:val="20"/>
          <w:szCs w:val="20"/>
        </w:rPr>
      </w:pPr>
      <w:r>
        <w:rPr>
          <w:color w:val="auto"/>
          <w:sz w:val="20"/>
          <w:szCs w:val="20"/>
        </w:rPr>
        <w:t>10. Stedman Jones, Gareth &amp; Gregory Claeys (eds.) – Nineteenth Century Political Thought, Cambridge University Press, 2011</w:t>
      </w:r>
    </w:p>
    <w:p w14:paraId="577A0679" w14:textId="3941FB53" w:rsidR="00BA61BB" w:rsidRDefault="00BA61BB" w:rsidP="00BA61BB">
      <w:pPr>
        <w:pStyle w:val="Default"/>
        <w:spacing w:line="360" w:lineRule="auto"/>
        <w:ind w:right="-567"/>
        <w:rPr>
          <w:sz w:val="23"/>
          <w:szCs w:val="23"/>
        </w:rPr>
      </w:pPr>
      <w:r>
        <w:rPr>
          <w:color w:val="auto"/>
          <w:sz w:val="20"/>
          <w:szCs w:val="20"/>
        </w:rPr>
        <w:t xml:space="preserve">11. </w:t>
      </w:r>
      <w:r w:rsidRPr="00BA61BB">
        <w:rPr>
          <w:color w:val="auto"/>
          <w:sz w:val="20"/>
          <w:szCs w:val="20"/>
        </w:rPr>
        <w:t>Ball, T., &amp; Bellamy, R. (Eds.). (2003). The Cambridge History of Twentieth-Century Political Thought (The Cambridge History of Political Thought). Cambridge: Cambridge University Press. doi:10.1017/CHOL9780521563543</w:t>
      </w:r>
    </w:p>
    <w:p w14:paraId="227B2F49" w14:textId="77777777" w:rsidR="00BA61BB" w:rsidRDefault="00BA61BB" w:rsidP="00097AD5">
      <w:pPr>
        <w:pStyle w:val="Default"/>
        <w:spacing w:line="360" w:lineRule="auto"/>
        <w:ind w:right="-567"/>
        <w:rPr>
          <w:sz w:val="23"/>
          <w:szCs w:val="23"/>
        </w:rPr>
      </w:pPr>
    </w:p>
    <w:p w14:paraId="255C81AA" w14:textId="77777777" w:rsidR="00FF1214" w:rsidRPr="001014E2" w:rsidRDefault="00FF1214" w:rsidP="00097AD5">
      <w:pPr>
        <w:pStyle w:val="Default"/>
        <w:spacing w:after="200" w:line="360" w:lineRule="auto"/>
        <w:ind w:right="-567"/>
        <w:rPr>
          <w:b/>
          <w:bCs/>
        </w:rPr>
      </w:pPr>
    </w:p>
    <w:p w14:paraId="6CC7E022" w14:textId="77777777" w:rsidR="0012271A" w:rsidRPr="0012271A" w:rsidRDefault="0012271A" w:rsidP="0012271A">
      <w:pPr>
        <w:autoSpaceDE w:val="0"/>
        <w:autoSpaceDN w:val="0"/>
        <w:adjustRightInd w:val="0"/>
        <w:ind w:right="-567"/>
        <w:rPr>
          <w:rFonts w:asciiTheme="majorHAnsi" w:hAnsiTheme="majorHAnsi" w:cstheme="majorHAnsi"/>
          <w:color w:val="000000"/>
        </w:rPr>
      </w:pPr>
      <w:r w:rsidRPr="0012271A">
        <w:rPr>
          <w:rFonts w:asciiTheme="majorHAnsi" w:hAnsiTheme="majorHAnsi" w:cstheme="majorHAnsi"/>
          <w:b/>
          <w:bCs/>
          <w:color w:val="000000"/>
        </w:rPr>
        <w:t xml:space="preserve">DIRECTOR DEPARTAMENT,                                                        </w:t>
      </w:r>
      <w:r w:rsidRPr="0012271A">
        <w:rPr>
          <w:rFonts w:asciiTheme="majorHAnsi" w:hAnsiTheme="majorHAnsi" w:cstheme="majorHAnsi"/>
          <w:b/>
          <w:bCs/>
          <w:color w:val="000000"/>
        </w:rPr>
        <w:tab/>
      </w:r>
      <w:r w:rsidRPr="0012271A">
        <w:rPr>
          <w:rFonts w:asciiTheme="majorHAnsi" w:hAnsiTheme="majorHAnsi" w:cstheme="majorHAnsi"/>
          <w:b/>
          <w:bCs/>
          <w:color w:val="000000"/>
        </w:rPr>
        <w:tab/>
        <w:t xml:space="preserve">   TITULAR DE DISCIPLINĂ, </w:t>
      </w:r>
    </w:p>
    <w:p w14:paraId="30F0C2F7" w14:textId="04634200" w:rsidR="0012271A" w:rsidRPr="0012271A" w:rsidRDefault="0012271A" w:rsidP="0012271A">
      <w:pPr>
        <w:pStyle w:val="Default"/>
        <w:spacing w:line="360" w:lineRule="auto"/>
        <w:rPr>
          <w:rFonts w:asciiTheme="majorHAnsi" w:hAnsiTheme="majorHAnsi" w:cstheme="majorHAnsi"/>
          <w:iCs/>
        </w:rPr>
      </w:pPr>
      <w:r w:rsidRPr="0012271A">
        <w:rPr>
          <w:rFonts w:asciiTheme="majorHAnsi" w:hAnsiTheme="majorHAnsi" w:cstheme="majorHAnsi"/>
        </w:rPr>
        <w:t xml:space="preserve">Conf. Univ. Dr. Mihai Ungureanu                                           </w:t>
      </w:r>
      <w:r>
        <w:rPr>
          <w:rFonts w:asciiTheme="majorHAnsi" w:hAnsiTheme="majorHAnsi" w:cstheme="majorHAnsi"/>
        </w:rPr>
        <w:t xml:space="preserve">         </w:t>
      </w:r>
      <w:r w:rsidRPr="0012271A">
        <w:rPr>
          <w:rFonts w:asciiTheme="majorHAnsi" w:hAnsiTheme="majorHAnsi" w:cstheme="majorHAnsi"/>
        </w:rPr>
        <w:t xml:space="preserve">   </w:t>
      </w:r>
      <w:r w:rsidRPr="0012271A">
        <w:rPr>
          <w:rFonts w:asciiTheme="majorHAnsi" w:hAnsiTheme="majorHAnsi" w:cstheme="majorHAnsi"/>
          <w:iCs/>
        </w:rPr>
        <w:t>Lect. Univ. Dr. Bogdan Florian</w:t>
      </w:r>
    </w:p>
    <w:p w14:paraId="255C81AC" w14:textId="1F7442BE" w:rsidR="001E579C" w:rsidRPr="0012271A" w:rsidRDefault="001E579C" w:rsidP="0012271A">
      <w:pPr>
        <w:pStyle w:val="Default"/>
        <w:spacing w:after="200" w:line="360" w:lineRule="auto"/>
        <w:ind w:right="-567"/>
        <w:rPr>
          <w:rFonts w:asciiTheme="majorHAnsi" w:hAnsiTheme="majorHAnsi" w:cstheme="majorHAnsi"/>
        </w:rPr>
      </w:pPr>
    </w:p>
    <w:sectPr w:rsidR="001E579C" w:rsidRPr="0012271A"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A06B5" w14:textId="77777777" w:rsidR="002F5DE6" w:rsidRDefault="002F5DE6" w:rsidP="00FF1214">
      <w:pPr>
        <w:spacing w:after="0" w:line="240" w:lineRule="auto"/>
      </w:pPr>
      <w:r>
        <w:separator/>
      </w:r>
    </w:p>
  </w:endnote>
  <w:endnote w:type="continuationSeparator" w:id="0">
    <w:p w14:paraId="13D5A8E1" w14:textId="77777777" w:rsidR="002F5DE6" w:rsidRDefault="002F5DE6"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E8D9" w14:textId="77777777" w:rsidR="00307A46" w:rsidRDefault="00307A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04DCA" w14:textId="77777777" w:rsidR="00307A46" w:rsidRDefault="00307A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626C2" w14:textId="77777777" w:rsidR="00307A46" w:rsidRDefault="00307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2435E" w14:textId="77777777" w:rsidR="002F5DE6" w:rsidRDefault="002F5DE6" w:rsidP="00FF1214">
      <w:pPr>
        <w:spacing w:after="0" w:line="240" w:lineRule="auto"/>
      </w:pPr>
      <w:r>
        <w:separator/>
      </w:r>
    </w:p>
  </w:footnote>
  <w:footnote w:type="continuationSeparator" w:id="0">
    <w:p w14:paraId="491B9F95" w14:textId="77777777" w:rsidR="002F5DE6" w:rsidRDefault="002F5DE6"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61108" w14:textId="77777777" w:rsidR="00307A46" w:rsidRDefault="00307A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1CE4B69D" w:rsidR="005A2E6C" w:rsidRPr="00DF6DEB" w:rsidRDefault="00307A46" w:rsidP="00307A46">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0D3E6819" wp14:editId="2E2C505D">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60FF" w14:textId="77777777" w:rsidR="00307A46" w:rsidRDefault="00307A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5F4702"/>
    <w:multiLevelType w:val="hybridMultilevel"/>
    <w:tmpl w:val="5C825AA2"/>
    <w:lvl w:ilvl="0" w:tplc="04180001">
      <w:start w:val="1"/>
      <w:numFmt w:val="bullet"/>
      <w:lvlText w:val=""/>
      <w:lvlJc w:val="left"/>
      <w:pPr>
        <w:ind w:left="720" w:hanging="360"/>
      </w:pPr>
      <w:rPr>
        <w:rFonts w:ascii="Symbol" w:hAnsi="Symbol" w:cs="Symbol" w:hint="default"/>
      </w:rPr>
    </w:lvl>
    <w:lvl w:ilvl="1" w:tplc="6122C2F8">
      <w:start w:val="2"/>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306D0B"/>
    <w:multiLevelType w:val="hybridMultilevel"/>
    <w:tmpl w:val="FAA2BA4A"/>
    <w:lvl w:ilvl="0" w:tplc="C0AE5478">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AB57912"/>
    <w:multiLevelType w:val="hybridMultilevel"/>
    <w:tmpl w:val="C2C0FCA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073D5C"/>
    <w:multiLevelType w:val="hybridMultilevel"/>
    <w:tmpl w:val="5610270C"/>
    <w:lvl w:ilvl="0" w:tplc="04180001">
      <w:start w:val="1"/>
      <w:numFmt w:val="bullet"/>
      <w:lvlText w:val=""/>
      <w:lvlJc w:val="left"/>
      <w:pPr>
        <w:ind w:left="720" w:hanging="360"/>
      </w:pPr>
      <w:rPr>
        <w:rFonts w:ascii="Symbol" w:hAnsi="Symbol" w:cs="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3"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A558C9"/>
    <w:multiLevelType w:val="hybridMultilevel"/>
    <w:tmpl w:val="9C18E4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5455939"/>
    <w:multiLevelType w:val="hybridMultilevel"/>
    <w:tmpl w:val="63763C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2C36BC0"/>
    <w:multiLevelType w:val="hybridMultilevel"/>
    <w:tmpl w:val="40C078B8"/>
    <w:lvl w:ilvl="0" w:tplc="04180015">
      <w:start w:val="1"/>
      <w:numFmt w:val="upperLetter"/>
      <w:lvlText w:val="%1."/>
      <w:lvlJc w:val="left"/>
      <w:pPr>
        <w:ind w:left="720" w:hanging="360"/>
      </w:pPr>
      <w:rPr>
        <w:rFonts w:hint="default"/>
      </w:rPr>
    </w:lvl>
    <w:lvl w:ilvl="1" w:tplc="C0AE5478">
      <w:numFmt w:val="bullet"/>
      <w:lvlText w:val="-"/>
      <w:lvlJc w:val="left"/>
      <w:pPr>
        <w:ind w:left="1785" w:hanging="705"/>
      </w:pPr>
      <w:rPr>
        <w:rFonts w:ascii="Times New Roman" w:eastAsia="Calibr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24671764">
    <w:abstractNumId w:val="4"/>
  </w:num>
  <w:num w:numId="2" w16cid:durableId="1748576482">
    <w:abstractNumId w:val="0"/>
  </w:num>
  <w:num w:numId="3" w16cid:durableId="1168909451">
    <w:abstractNumId w:val="1"/>
  </w:num>
  <w:num w:numId="4" w16cid:durableId="1145783476">
    <w:abstractNumId w:val="13"/>
  </w:num>
  <w:num w:numId="5" w16cid:durableId="337193866">
    <w:abstractNumId w:val="11"/>
  </w:num>
  <w:num w:numId="6" w16cid:durableId="1612391650">
    <w:abstractNumId w:val="2"/>
  </w:num>
  <w:num w:numId="7" w16cid:durableId="1218980529">
    <w:abstractNumId w:val="19"/>
  </w:num>
  <w:num w:numId="8" w16cid:durableId="807018784">
    <w:abstractNumId w:val="5"/>
  </w:num>
  <w:num w:numId="9" w16cid:durableId="1963027443">
    <w:abstractNumId w:val="8"/>
  </w:num>
  <w:num w:numId="10" w16cid:durableId="2092315044">
    <w:abstractNumId w:val="12"/>
  </w:num>
  <w:num w:numId="11" w16cid:durableId="438447878">
    <w:abstractNumId w:val="14"/>
  </w:num>
  <w:num w:numId="12" w16cid:durableId="1505246100">
    <w:abstractNumId w:val="15"/>
  </w:num>
  <w:num w:numId="13" w16cid:durableId="1002776018">
    <w:abstractNumId w:val="17"/>
  </w:num>
  <w:num w:numId="14" w16cid:durableId="830944507">
    <w:abstractNumId w:val="7"/>
  </w:num>
  <w:num w:numId="15" w16cid:durableId="252863294">
    <w:abstractNumId w:val="20"/>
  </w:num>
  <w:num w:numId="16" w16cid:durableId="1073628736">
    <w:abstractNumId w:val="6"/>
  </w:num>
  <w:num w:numId="17" w16cid:durableId="327246901">
    <w:abstractNumId w:val="9"/>
  </w:num>
  <w:num w:numId="18" w16cid:durableId="1650405316">
    <w:abstractNumId w:val="10"/>
  </w:num>
  <w:num w:numId="19" w16cid:durableId="2008098110">
    <w:abstractNumId w:val="3"/>
  </w:num>
  <w:num w:numId="20" w16cid:durableId="2039306482">
    <w:abstractNumId w:val="18"/>
  </w:num>
  <w:num w:numId="21" w16cid:durableId="13606630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A5E32"/>
    <w:rsid w:val="000B10AB"/>
    <w:rsid w:val="000B5719"/>
    <w:rsid w:val="000B673E"/>
    <w:rsid w:val="000C6150"/>
    <w:rsid w:val="000E689B"/>
    <w:rsid w:val="00100010"/>
    <w:rsid w:val="001014E2"/>
    <w:rsid w:val="00105FC5"/>
    <w:rsid w:val="00106B24"/>
    <w:rsid w:val="00106B57"/>
    <w:rsid w:val="00115C6F"/>
    <w:rsid w:val="00115EFC"/>
    <w:rsid w:val="001173A0"/>
    <w:rsid w:val="001179AB"/>
    <w:rsid w:val="0012271A"/>
    <w:rsid w:val="00122C3F"/>
    <w:rsid w:val="00122E07"/>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465A"/>
    <w:rsid w:val="00187F2F"/>
    <w:rsid w:val="001942A8"/>
    <w:rsid w:val="001A0486"/>
    <w:rsid w:val="001A696A"/>
    <w:rsid w:val="001B5C28"/>
    <w:rsid w:val="001C551C"/>
    <w:rsid w:val="001C6213"/>
    <w:rsid w:val="001E3ADF"/>
    <w:rsid w:val="001E579C"/>
    <w:rsid w:val="001E6223"/>
    <w:rsid w:val="001F08BB"/>
    <w:rsid w:val="001F3447"/>
    <w:rsid w:val="00200C86"/>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A5DBB"/>
    <w:rsid w:val="002B03B0"/>
    <w:rsid w:val="002B3630"/>
    <w:rsid w:val="002C3BE0"/>
    <w:rsid w:val="002D4A2C"/>
    <w:rsid w:val="002E7384"/>
    <w:rsid w:val="002F0E66"/>
    <w:rsid w:val="002F31E8"/>
    <w:rsid w:val="002F3EA6"/>
    <w:rsid w:val="002F4A37"/>
    <w:rsid w:val="002F5DE6"/>
    <w:rsid w:val="003023EC"/>
    <w:rsid w:val="00307A46"/>
    <w:rsid w:val="00311FC9"/>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22D"/>
    <w:rsid w:val="003C4846"/>
    <w:rsid w:val="003C5C10"/>
    <w:rsid w:val="003C6231"/>
    <w:rsid w:val="003C7225"/>
    <w:rsid w:val="003C785B"/>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D93"/>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06E4"/>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48C0"/>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313E"/>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23EF"/>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E78DB"/>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A329E"/>
    <w:rsid w:val="00BA61BB"/>
    <w:rsid w:val="00BB191D"/>
    <w:rsid w:val="00BB539B"/>
    <w:rsid w:val="00BB5A9D"/>
    <w:rsid w:val="00BD0789"/>
    <w:rsid w:val="00BD6325"/>
    <w:rsid w:val="00BD73C1"/>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E79E3"/>
    <w:rsid w:val="00CF0384"/>
    <w:rsid w:val="00CF0FFD"/>
    <w:rsid w:val="00CF3A5D"/>
    <w:rsid w:val="00CF73DD"/>
    <w:rsid w:val="00D00895"/>
    <w:rsid w:val="00D00DC0"/>
    <w:rsid w:val="00D0449C"/>
    <w:rsid w:val="00D10E83"/>
    <w:rsid w:val="00D162ED"/>
    <w:rsid w:val="00D267C1"/>
    <w:rsid w:val="00D31D8D"/>
    <w:rsid w:val="00D37F6C"/>
    <w:rsid w:val="00D40838"/>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2745"/>
    <w:rsid w:val="00E352CF"/>
    <w:rsid w:val="00E437E3"/>
    <w:rsid w:val="00E4494A"/>
    <w:rsid w:val="00E47671"/>
    <w:rsid w:val="00E508F2"/>
    <w:rsid w:val="00E56501"/>
    <w:rsid w:val="00E56EE9"/>
    <w:rsid w:val="00E6419C"/>
    <w:rsid w:val="00E6453D"/>
    <w:rsid w:val="00E6496C"/>
    <w:rsid w:val="00E71390"/>
    <w:rsid w:val="00E80976"/>
    <w:rsid w:val="00E816AE"/>
    <w:rsid w:val="00E81F9C"/>
    <w:rsid w:val="00E82390"/>
    <w:rsid w:val="00E90C67"/>
    <w:rsid w:val="00E917AB"/>
    <w:rsid w:val="00E9188D"/>
    <w:rsid w:val="00EA215B"/>
    <w:rsid w:val="00EA6B88"/>
    <w:rsid w:val="00EB162D"/>
    <w:rsid w:val="00EB6D86"/>
    <w:rsid w:val="00EC4BEB"/>
    <w:rsid w:val="00ED5106"/>
    <w:rsid w:val="00ED79EA"/>
    <w:rsid w:val="00EE0A6F"/>
    <w:rsid w:val="00EE1A98"/>
    <w:rsid w:val="00EE4FC7"/>
    <w:rsid w:val="00EE5258"/>
    <w:rsid w:val="00EE5507"/>
    <w:rsid w:val="00EE7394"/>
    <w:rsid w:val="00EE77DA"/>
    <w:rsid w:val="00F00F73"/>
    <w:rsid w:val="00F01CE7"/>
    <w:rsid w:val="00F024DF"/>
    <w:rsid w:val="00F0540C"/>
    <w:rsid w:val="00F13C02"/>
    <w:rsid w:val="00F147C3"/>
    <w:rsid w:val="00F1629D"/>
    <w:rsid w:val="00F21297"/>
    <w:rsid w:val="00F24B97"/>
    <w:rsid w:val="00F2530F"/>
    <w:rsid w:val="00F2797D"/>
    <w:rsid w:val="00F32AED"/>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character" w:styleId="CommentReference">
    <w:name w:val="annotation reference"/>
    <w:basedOn w:val="DefaultParagraphFont"/>
    <w:uiPriority w:val="99"/>
    <w:semiHidden/>
    <w:unhideWhenUsed/>
    <w:rsid w:val="0012271A"/>
    <w:rPr>
      <w:sz w:val="16"/>
      <w:szCs w:val="16"/>
    </w:rPr>
  </w:style>
  <w:style w:type="paragraph" w:styleId="CommentText">
    <w:name w:val="annotation text"/>
    <w:basedOn w:val="Normal"/>
    <w:link w:val="CommentTextChar"/>
    <w:uiPriority w:val="99"/>
    <w:semiHidden/>
    <w:unhideWhenUsed/>
    <w:rsid w:val="0012271A"/>
    <w:pPr>
      <w:spacing w:line="240" w:lineRule="auto"/>
    </w:pPr>
    <w:rPr>
      <w:sz w:val="20"/>
      <w:szCs w:val="20"/>
    </w:rPr>
  </w:style>
  <w:style w:type="character" w:customStyle="1" w:styleId="CommentTextChar">
    <w:name w:val="Comment Text Char"/>
    <w:basedOn w:val="DefaultParagraphFont"/>
    <w:link w:val="CommentText"/>
    <w:uiPriority w:val="99"/>
    <w:semiHidden/>
    <w:rsid w:val="0012271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8045">
      <w:bodyDiv w:val="1"/>
      <w:marLeft w:val="0"/>
      <w:marRight w:val="0"/>
      <w:marTop w:val="0"/>
      <w:marBottom w:val="0"/>
      <w:divBdr>
        <w:top w:val="none" w:sz="0" w:space="0" w:color="auto"/>
        <w:left w:val="none" w:sz="0" w:space="0" w:color="auto"/>
        <w:bottom w:val="none" w:sz="0" w:space="0" w:color="auto"/>
        <w:right w:val="none" w:sz="0" w:space="0" w:color="auto"/>
      </w:divBdr>
    </w:div>
    <w:div w:id="59378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AE1F0-0A4E-4FEE-83C3-8C1FF18CA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1606</Words>
  <Characters>7742</Characters>
  <Application>Microsoft Office Word</Application>
  <DocSecurity>0</DocSecurity>
  <Lines>455</Lines>
  <Paragraphs>227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8</cp:revision>
  <dcterms:created xsi:type="dcterms:W3CDTF">2020-05-18T12:25:00Z</dcterms:created>
  <dcterms:modified xsi:type="dcterms:W3CDTF">2022-10-04T11:31:00Z</dcterms:modified>
</cp:coreProperties>
</file>