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77777777"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p>
    <w:p w14:paraId="255C800B" w14:textId="23226599"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r w:rsidR="004A2634" w:rsidRPr="00874484">
        <w:rPr>
          <w:rFonts w:ascii="Times New Roman" w:hAnsi="Times New Roman"/>
          <w:i/>
          <w:sz w:val="24"/>
          <w:szCs w:val="24"/>
          <w:u w:val="single"/>
        </w:rPr>
        <w:t>Științe Politice, Relații Internaționale și Studii Europene</w:t>
      </w:r>
    </w:p>
    <w:p w14:paraId="255C800C" w14:textId="77777777" w:rsidR="004E37A6" w:rsidRPr="001014E2" w:rsidRDefault="00171BDD" w:rsidP="004E37A6">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 xml:space="preserve">(Specializarea): </w:t>
      </w:r>
      <w:r w:rsidR="002453D0">
        <w:rPr>
          <w:rFonts w:ascii="Times New Roman" w:hAnsi="Times New Roman"/>
          <w:i/>
          <w:sz w:val="24"/>
          <w:szCs w:val="24"/>
          <w:u w:val="single"/>
        </w:rPr>
        <w:t>SP, RISE</w:t>
      </w:r>
    </w:p>
    <w:p w14:paraId="255C800D" w14:textId="77777777" w:rsidR="00C07ECC" w:rsidRPr="001014E2" w:rsidRDefault="00C07ECC" w:rsidP="001A0486">
      <w:pPr>
        <w:ind w:right="-567"/>
        <w:rPr>
          <w:rFonts w:ascii="Times New Roman" w:hAnsi="Times New Roman"/>
          <w:u w:val="single"/>
        </w:rPr>
      </w:pPr>
    </w:p>
    <w:p w14:paraId="255C800E" w14:textId="77777777" w:rsidR="001E579C" w:rsidRPr="001014E2" w:rsidRDefault="001E579C" w:rsidP="00097AD5">
      <w:pPr>
        <w:spacing w:line="360" w:lineRule="auto"/>
        <w:rPr>
          <w:rFonts w:ascii="Times New Roman" w:hAnsi="Times New Roman"/>
        </w:rPr>
      </w:pPr>
    </w:p>
    <w:p w14:paraId="255C800F" w14:textId="77777777" w:rsidR="00097AD5" w:rsidRPr="001014E2" w:rsidRDefault="00097AD5" w:rsidP="00097AD5">
      <w:pPr>
        <w:spacing w:line="360" w:lineRule="auto"/>
        <w:rPr>
          <w:rFonts w:ascii="Times New Roman" w:hAnsi="Times New Roman"/>
        </w:rPr>
      </w:pPr>
    </w:p>
    <w:p w14:paraId="255C8010" w14:textId="77777777" w:rsidR="00171BDD" w:rsidRPr="001014E2" w:rsidRDefault="00171BDD" w:rsidP="00097AD5">
      <w:pPr>
        <w:spacing w:line="36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1" w14:textId="10B1D412" w:rsidR="00171BDD" w:rsidRPr="001014E2" w:rsidRDefault="00CE79E3" w:rsidP="00097AD5">
      <w:pPr>
        <w:spacing w:line="360" w:lineRule="auto"/>
        <w:jc w:val="center"/>
        <w:rPr>
          <w:rFonts w:ascii="Times New Roman" w:hAnsi="Times New Roman"/>
          <w:b/>
          <w:sz w:val="32"/>
          <w:szCs w:val="32"/>
        </w:rPr>
      </w:pPr>
      <w:r>
        <w:rPr>
          <w:rFonts w:ascii="Times New Roman" w:hAnsi="Times New Roman"/>
          <w:b/>
          <w:sz w:val="32"/>
          <w:szCs w:val="32"/>
        </w:rPr>
        <w:t>Politici Educaționale (PE)</w:t>
      </w:r>
    </w:p>
    <w:p w14:paraId="255C8012" w14:textId="77777777" w:rsidR="00813C70" w:rsidRPr="001014E2" w:rsidRDefault="00813C70" w:rsidP="00097AD5">
      <w:pPr>
        <w:spacing w:line="360" w:lineRule="auto"/>
        <w:rPr>
          <w:rFonts w:ascii="Times New Roman" w:hAnsi="Times New Roman"/>
        </w:rPr>
      </w:pPr>
    </w:p>
    <w:p w14:paraId="255C8013" w14:textId="77777777" w:rsidR="001E579C" w:rsidRPr="001014E2" w:rsidRDefault="001E579C" w:rsidP="00097AD5">
      <w:pPr>
        <w:spacing w:line="360" w:lineRule="auto"/>
        <w:rPr>
          <w:rFonts w:ascii="Times New Roman" w:hAnsi="Times New Roman"/>
        </w:rPr>
      </w:pPr>
    </w:p>
    <w:p w14:paraId="255C8014"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Statutul disciplinei</w:t>
      </w:r>
      <w:r w:rsidRPr="001014E2">
        <w:rPr>
          <w:rFonts w:ascii="Times New Roman" w:hAnsi="Times New Roman"/>
          <w:sz w:val="24"/>
          <w:szCs w:val="24"/>
        </w:rPr>
        <w:t>:</w:t>
      </w:r>
      <w:r w:rsidR="00071FF9" w:rsidRPr="001014E2">
        <w:rPr>
          <w:rFonts w:ascii="Times New Roman" w:hAnsi="Times New Roman"/>
          <w:sz w:val="24"/>
          <w:szCs w:val="24"/>
        </w:rPr>
        <w:t xml:space="preserve">     </w:t>
      </w:r>
      <w:r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obligatorie</w:t>
      </w:r>
      <w:r w:rsidR="00071FF9"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opţională</w:t>
      </w:r>
      <w:r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00071FF9" w:rsidRPr="001014E2">
        <w:rPr>
          <w:rFonts w:ascii="Times New Roman" w:hAnsi="Times New Roman"/>
          <w:sz w:val="24"/>
          <w:szCs w:val="24"/>
        </w:rPr>
        <w:t xml:space="preserve"> </w:t>
      </w:r>
      <w:r w:rsidRPr="001014E2">
        <w:rPr>
          <w:rFonts w:ascii="Times New Roman" w:hAnsi="Times New Roman"/>
          <w:i/>
          <w:sz w:val="24"/>
          <w:szCs w:val="24"/>
        </w:rPr>
        <w:t>facultativă</w:t>
      </w:r>
    </w:p>
    <w:p w14:paraId="255C8015"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Nivelul de studii</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Licenţă</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Pr>
          <w:rFonts w:ascii="MS Mincho" w:eastAsia="MS Mincho" w:hAnsi="MS Mincho" w:cs="MS Mincho"/>
          <w:sz w:val="24"/>
          <w:szCs w:val="24"/>
        </w:rPr>
        <w:t xml:space="preserve"> </w:t>
      </w:r>
      <w:r w:rsidRPr="001014E2">
        <w:rPr>
          <w:rFonts w:ascii="Times New Roman" w:hAnsi="Times New Roman"/>
          <w:i/>
          <w:sz w:val="24"/>
          <w:szCs w:val="24"/>
        </w:rPr>
        <w:t>Masterat</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96323A"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Pr="001014E2">
        <w:rPr>
          <w:rFonts w:ascii="Times New Roman" w:hAnsi="Times New Roman"/>
          <w:sz w:val="24"/>
          <w:szCs w:val="24"/>
        </w:rPr>
        <w:t xml:space="preserve"> </w:t>
      </w:r>
      <w:r w:rsidRPr="001014E2">
        <w:rPr>
          <w:rFonts w:ascii="Times New Roman" w:hAnsi="Times New Roman"/>
          <w:i/>
          <w:sz w:val="24"/>
          <w:szCs w:val="24"/>
        </w:rPr>
        <w:t>Doctorat</w:t>
      </w:r>
    </w:p>
    <w:p w14:paraId="255C8016" w14:textId="77777777" w:rsidR="007101A4" w:rsidRPr="001014E2" w:rsidRDefault="007101A4" w:rsidP="00097AD5">
      <w:pPr>
        <w:spacing w:line="360" w:lineRule="auto"/>
        <w:rPr>
          <w:rFonts w:ascii="Times New Roman" w:hAnsi="Times New Roman"/>
          <w:b/>
          <w:sz w:val="24"/>
          <w:szCs w:val="24"/>
        </w:rPr>
      </w:pPr>
    </w:p>
    <w:p w14:paraId="255C8017" w14:textId="11BD4820" w:rsidR="00171BDD" w:rsidRPr="001014E2" w:rsidRDefault="00171BDD" w:rsidP="00097AD5">
      <w:pPr>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CE79E3">
        <w:rPr>
          <w:rFonts w:ascii="Times New Roman" w:hAnsi="Times New Roman"/>
          <w:sz w:val="24"/>
          <w:szCs w:val="24"/>
        </w:rPr>
        <w:t>III</w:t>
      </w:r>
    </w:p>
    <w:p w14:paraId="255C8018" w14:textId="718087AF" w:rsidR="00071FF9" w:rsidRPr="001014E2" w:rsidRDefault="00171BDD" w:rsidP="00097AD5">
      <w:pPr>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CE79E3">
        <w:rPr>
          <w:rFonts w:ascii="Times New Roman" w:hAnsi="Times New Roman"/>
          <w:sz w:val="24"/>
          <w:szCs w:val="24"/>
        </w:rPr>
        <w:t>I</w:t>
      </w:r>
    </w:p>
    <w:p w14:paraId="255C8019" w14:textId="77777777" w:rsidR="005F4D76" w:rsidRPr="001014E2" w:rsidRDefault="005F4D76" w:rsidP="00097AD5">
      <w:pPr>
        <w:pStyle w:val="Default"/>
        <w:spacing w:line="360" w:lineRule="auto"/>
      </w:pPr>
    </w:p>
    <w:p w14:paraId="255C801A" w14:textId="78F65B4B" w:rsidR="00071FF9" w:rsidRPr="001014E2" w:rsidRDefault="00071FF9" w:rsidP="00097AD5">
      <w:pPr>
        <w:pStyle w:val="Default"/>
        <w:spacing w:line="276" w:lineRule="auto"/>
        <w:rPr>
          <w:i/>
          <w:iCs/>
        </w:rPr>
      </w:pPr>
      <w:r w:rsidRPr="001014E2">
        <w:rPr>
          <w:b/>
          <w:bCs/>
        </w:rPr>
        <w:t xml:space="preserve">Titularul cursului: </w:t>
      </w:r>
    </w:p>
    <w:p w14:paraId="255C801C" w14:textId="6F8C330C" w:rsidR="005F4D76" w:rsidRPr="001014E2" w:rsidRDefault="00CE79E3" w:rsidP="00097AD5">
      <w:pPr>
        <w:pStyle w:val="Default"/>
        <w:spacing w:line="360" w:lineRule="auto"/>
        <w:rPr>
          <w:iCs/>
        </w:rPr>
      </w:pPr>
      <w:r>
        <w:rPr>
          <w:iCs/>
        </w:rPr>
        <w:t>Lect. Univ. Dr. Bogdan Florian</w:t>
      </w:r>
    </w:p>
    <w:tbl>
      <w:tblPr>
        <w:tblpPr w:leftFromText="180" w:rightFromText="180" w:vertAnchor="text" w:horzAnchor="margin" w:tblpY="113"/>
        <w:tblW w:w="0" w:type="auto"/>
        <w:tblBorders>
          <w:top w:val="nil"/>
          <w:left w:val="nil"/>
          <w:bottom w:val="nil"/>
          <w:right w:val="nil"/>
        </w:tblBorders>
        <w:tblLayout w:type="fixed"/>
        <w:tblLook w:val="0000" w:firstRow="0" w:lastRow="0" w:firstColumn="0" w:lastColumn="0" w:noHBand="0" w:noVBand="0"/>
      </w:tblPr>
      <w:tblGrid>
        <w:gridCol w:w="2692"/>
        <w:gridCol w:w="1454"/>
        <w:gridCol w:w="1454"/>
        <w:gridCol w:w="1454"/>
        <w:gridCol w:w="1454"/>
        <w:gridCol w:w="1239"/>
      </w:tblGrid>
      <w:tr w:rsidR="00071FF9" w:rsidRPr="001014E2" w14:paraId="255C801E" w14:textId="77777777" w:rsidTr="00DD5D77">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255C801D" w14:textId="77777777" w:rsidR="00071FF9" w:rsidRPr="001014E2" w:rsidRDefault="00071FF9" w:rsidP="00097AD5">
            <w:pPr>
              <w:pStyle w:val="Default"/>
              <w:spacing w:line="360" w:lineRule="auto"/>
            </w:pPr>
            <w:r w:rsidRPr="001014E2">
              <w:rPr>
                <w:b/>
                <w:bCs/>
              </w:rPr>
              <w:t xml:space="preserve">Număr de ore/Verificarea/Credite </w:t>
            </w:r>
          </w:p>
        </w:tc>
      </w:tr>
      <w:tr w:rsidR="00071FF9" w:rsidRPr="001014E2" w14:paraId="255C8025"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1F" w14:textId="77777777" w:rsidR="00071FF9" w:rsidRPr="001014E2" w:rsidRDefault="00071FF9" w:rsidP="00097AD5">
            <w:pPr>
              <w:pStyle w:val="Default"/>
              <w:spacing w:line="360" w:lineRule="auto"/>
            </w:pPr>
            <w:r w:rsidRPr="001014E2">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0" w14:textId="77777777" w:rsidR="00071FF9" w:rsidRPr="001014E2" w:rsidRDefault="00071FF9" w:rsidP="00097AD5">
            <w:pPr>
              <w:pStyle w:val="Default"/>
              <w:spacing w:line="360" w:lineRule="auto"/>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1" w14:textId="77777777" w:rsidR="00071FF9" w:rsidRPr="001014E2" w:rsidRDefault="00071FF9" w:rsidP="00097AD5">
            <w:pPr>
              <w:pStyle w:val="Default"/>
              <w:spacing w:line="360" w:lineRule="auto"/>
            </w:pPr>
            <w:r w:rsidRPr="001014E2">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2" w14:textId="77777777" w:rsidR="00071FF9" w:rsidRPr="001014E2" w:rsidRDefault="00071FF9" w:rsidP="00097AD5">
            <w:pPr>
              <w:pStyle w:val="Default"/>
              <w:spacing w:line="360" w:lineRule="auto"/>
            </w:pPr>
            <w:r w:rsidRPr="001014E2">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3" w14:textId="77777777" w:rsidR="00071FF9" w:rsidRPr="001014E2" w:rsidRDefault="00071FF9" w:rsidP="00097AD5">
            <w:pPr>
              <w:pStyle w:val="Default"/>
              <w:spacing w:line="360" w:lineRule="auto"/>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4" w14:textId="77777777" w:rsidR="00071FF9" w:rsidRPr="001014E2" w:rsidRDefault="00071FF9" w:rsidP="00097AD5">
            <w:pPr>
              <w:pStyle w:val="Default"/>
              <w:spacing w:line="360" w:lineRule="auto"/>
            </w:pPr>
            <w:r w:rsidRPr="001014E2">
              <w:rPr>
                <w:b/>
                <w:bCs/>
              </w:rPr>
              <w:t xml:space="preserve">Credite </w:t>
            </w:r>
          </w:p>
        </w:tc>
      </w:tr>
      <w:tr w:rsidR="00071FF9" w:rsidRPr="001014E2" w14:paraId="255C802C"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26" w14:textId="636BBCD2" w:rsidR="00071FF9" w:rsidRPr="001014E2" w:rsidRDefault="00AA2747" w:rsidP="00854CB1">
            <w:pPr>
              <w:pStyle w:val="Default"/>
              <w:spacing w:line="360" w:lineRule="auto"/>
              <w:rPr>
                <w:b/>
                <w:bCs/>
              </w:rPr>
            </w:pPr>
            <w:r w:rsidRPr="001014E2">
              <w:rPr>
                <w:b/>
                <w:bCs/>
              </w:rPr>
              <w:t>C=</w:t>
            </w:r>
            <w:r w:rsidR="002A5DBB">
              <w:rPr>
                <w:b/>
                <w:bCs/>
              </w:rPr>
              <w:t>28</w:t>
            </w:r>
            <w:r w:rsidRPr="001014E2">
              <w:rPr>
                <w:b/>
                <w:bCs/>
              </w:rPr>
              <w:t>, SI=</w:t>
            </w:r>
            <w:r w:rsidR="006F37B4">
              <w:rPr>
                <w:b/>
                <w:bCs/>
              </w:rPr>
              <w:t>47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7" w14:textId="6EF8E448" w:rsidR="00071FF9" w:rsidRPr="001014E2" w:rsidRDefault="00AA2747" w:rsidP="00854CB1">
            <w:pPr>
              <w:pStyle w:val="Default"/>
              <w:spacing w:line="360" w:lineRule="auto"/>
              <w:rPr>
                <w:b/>
                <w:bCs/>
              </w:rPr>
            </w:pPr>
            <w:r w:rsidRPr="001014E2">
              <w:rPr>
                <w:b/>
                <w:bCs/>
              </w:rPr>
              <w:t>S=</w:t>
            </w:r>
            <w:r w:rsidR="002A5DBB">
              <w:rPr>
                <w:b/>
                <w:bCs/>
              </w:rPr>
              <w:t>28</w:t>
            </w:r>
            <w:r w:rsidRPr="001014E2">
              <w:rPr>
                <w:b/>
                <w:bCs/>
              </w:rPr>
              <w:t>, SI=</w:t>
            </w:r>
            <w:r w:rsidR="006F37B4">
              <w:rPr>
                <w:b/>
                <w:bCs/>
              </w:rPr>
              <w:t>47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8"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9"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A" w14:textId="575BE75F" w:rsidR="00071FF9" w:rsidRPr="001014E2" w:rsidRDefault="008F6491" w:rsidP="00097AD5">
            <w:pPr>
              <w:pStyle w:val="Default"/>
              <w:spacing w:line="360" w:lineRule="auto"/>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B" w14:textId="5D5A9C2F" w:rsidR="00071FF9" w:rsidRPr="001014E2" w:rsidRDefault="006F37B4" w:rsidP="006F37B4">
            <w:pPr>
              <w:pStyle w:val="Default"/>
              <w:spacing w:line="360" w:lineRule="auto"/>
              <w:jc w:val="center"/>
              <w:rPr>
                <w:b/>
                <w:bCs/>
              </w:rPr>
            </w:pPr>
            <w:r>
              <w:rPr>
                <w:b/>
                <w:bCs/>
              </w:rPr>
              <w:t>6</w:t>
            </w:r>
          </w:p>
        </w:tc>
      </w:tr>
    </w:tbl>
    <w:p w14:paraId="255C802D" w14:textId="77777777" w:rsidR="00071FF9" w:rsidRPr="001014E2" w:rsidRDefault="00071FF9" w:rsidP="00097AD5">
      <w:pPr>
        <w:pStyle w:val="Default"/>
        <w:spacing w:line="360" w:lineRule="auto"/>
        <w:rPr>
          <w:iCs/>
          <w:sz w:val="23"/>
          <w:szCs w:val="23"/>
        </w:rPr>
      </w:pPr>
    </w:p>
    <w:p w14:paraId="255C802E" w14:textId="77777777" w:rsidR="00B12AAA" w:rsidRPr="001014E2" w:rsidRDefault="00B12AAA" w:rsidP="00097AD5">
      <w:pPr>
        <w:pStyle w:val="Default"/>
        <w:spacing w:line="360" w:lineRule="auto"/>
        <w:rPr>
          <w:iCs/>
          <w:sz w:val="23"/>
          <w:szCs w:val="23"/>
        </w:rPr>
      </w:pPr>
    </w:p>
    <w:p w14:paraId="255C802F" w14:textId="05D6F56D" w:rsidR="001A0486" w:rsidRDefault="001A0486" w:rsidP="00097AD5">
      <w:pPr>
        <w:pStyle w:val="Default"/>
        <w:spacing w:line="360" w:lineRule="auto"/>
        <w:rPr>
          <w:b/>
          <w:bCs/>
        </w:rPr>
      </w:pPr>
    </w:p>
    <w:p w14:paraId="22921697" w14:textId="77777777" w:rsidR="009A088D" w:rsidRPr="001014E2" w:rsidRDefault="009A088D" w:rsidP="00097AD5">
      <w:pPr>
        <w:pStyle w:val="Default"/>
        <w:spacing w:line="360" w:lineRule="auto"/>
        <w:rPr>
          <w:b/>
          <w:bCs/>
        </w:rPr>
      </w:pPr>
    </w:p>
    <w:p w14:paraId="255C8030" w14:textId="77542960" w:rsidR="00A445F9" w:rsidRDefault="00071FF9" w:rsidP="002A5DBB">
      <w:pPr>
        <w:pStyle w:val="Default"/>
        <w:numPr>
          <w:ilvl w:val="0"/>
          <w:numId w:val="15"/>
        </w:numPr>
        <w:spacing w:line="360" w:lineRule="auto"/>
        <w:ind w:right="-567"/>
        <w:jc w:val="both"/>
        <w:rPr>
          <w:b/>
          <w:bCs/>
        </w:rPr>
      </w:pPr>
      <w:r w:rsidRPr="001014E2">
        <w:rPr>
          <w:b/>
          <w:bCs/>
        </w:rPr>
        <w:t>OBIECTIVELE DISCIPLINEI</w:t>
      </w:r>
    </w:p>
    <w:p w14:paraId="1CE42460" w14:textId="63EC1A5F" w:rsidR="002A5DBB" w:rsidRPr="0002145D" w:rsidRDefault="002A5DBB" w:rsidP="002A5DBB">
      <w:pPr>
        <w:pStyle w:val="Default"/>
        <w:spacing w:line="360" w:lineRule="auto"/>
        <w:ind w:left="720" w:right="-567"/>
        <w:jc w:val="both"/>
        <w:rPr>
          <w:sz w:val="23"/>
          <w:szCs w:val="23"/>
        </w:rPr>
      </w:pPr>
      <w:r w:rsidRPr="002A5DBB">
        <w:rPr>
          <w:sz w:val="23"/>
          <w:szCs w:val="23"/>
        </w:rPr>
        <w:lastRenderedPageBreak/>
        <w:t>Cursul "Politici Educationale" are ca obiectiv operationalizarea conceptelor teoretice dobandite in urma absolvirii de catre studenti a cursurilor care au ca tematica generala politicile publice. Domeniul de studiu este cel al educatiei in general si a problematicii interventiei guvernamentale in acest domeniu prin intermediul instrumentelor specifice politicilor publice. Din aceasta perspectiva activitatile grupate in acest curs vor urmari mai degraba elementele specifice educatiei si vor porni de la premisa ca elementele teoretice privind politicile publice sunt deja cunoscute de catre participanti.</w:t>
      </w:r>
    </w:p>
    <w:p w14:paraId="255C8036" w14:textId="77777777" w:rsidR="00A445F9" w:rsidRPr="001014E2" w:rsidRDefault="00A445F9" w:rsidP="00097AD5">
      <w:pPr>
        <w:pStyle w:val="Default"/>
        <w:spacing w:line="360" w:lineRule="auto"/>
        <w:ind w:right="-567"/>
        <w:rPr>
          <w:sz w:val="16"/>
          <w:szCs w:val="16"/>
        </w:rPr>
      </w:pPr>
    </w:p>
    <w:p w14:paraId="255C8037" w14:textId="77777777" w:rsidR="00071FF9" w:rsidRPr="001014E2" w:rsidRDefault="00071FF9" w:rsidP="00F24B97">
      <w:pPr>
        <w:pStyle w:val="Default"/>
        <w:spacing w:line="360" w:lineRule="auto"/>
        <w:ind w:right="-567"/>
        <w:jc w:val="both"/>
        <w:rPr>
          <w:i/>
          <w:iCs/>
          <w:sz w:val="23"/>
          <w:szCs w:val="23"/>
        </w:rPr>
      </w:pPr>
      <w:r w:rsidRPr="001014E2">
        <w:rPr>
          <w:b/>
          <w:bCs/>
        </w:rPr>
        <w:t>B. PRECONDIŢII DE ACCESARE A DISCIPLINEI</w:t>
      </w:r>
    </w:p>
    <w:p w14:paraId="599C1F99" w14:textId="663DB561" w:rsidR="002A5DBB" w:rsidRPr="002A5DBB" w:rsidRDefault="002A5DBB" w:rsidP="002A5DBB">
      <w:pPr>
        <w:pStyle w:val="Default"/>
        <w:spacing w:line="360" w:lineRule="auto"/>
        <w:ind w:left="360" w:right="-567"/>
        <w:jc w:val="both"/>
      </w:pPr>
      <w:r w:rsidRPr="002A5DBB">
        <w:t xml:space="preserve">B1. </w:t>
      </w:r>
      <w:r w:rsidRPr="002A5DBB">
        <w:rPr>
          <w:b/>
          <w:bCs/>
        </w:rPr>
        <w:t>de curriculum</w:t>
      </w:r>
      <w:r w:rsidRPr="002A5DBB">
        <w:tab/>
        <w:t>-</w:t>
      </w:r>
      <w:r>
        <w:t xml:space="preserve"> </w:t>
      </w:r>
      <w:r w:rsidRPr="002A5DBB">
        <w:t xml:space="preserve"> absolvirea cursului ”Politici Publice”; absolvirea cursului ”Metode de cercetare social politică”; absolvirea ”Laboratorului de informatică aplicată în științele sociale”</w:t>
      </w:r>
    </w:p>
    <w:p w14:paraId="5863D77F" w14:textId="77777777" w:rsidR="002A5DBB" w:rsidRDefault="002A5DBB" w:rsidP="002A5DBB">
      <w:pPr>
        <w:pStyle w:val="Default"/>
        <w:spacing w:line="360" w:lineRule="auto"/>
        <w:ind w:left="360" w:right="-567"/>
        <w:jc w:val="both"/>
      </w:pPr>
      <w:r w:rsidRPr="002A5DBB">
        <w:t xml:space="preserve">B2.  </w:t>
      </w:r>
      <w:r w:rsidRPr="002A5DBB">
        <w:rPr>
          <w:b/>
          <w:bCs/>
        </w:rPr>
        <w:t>de competenţe</w:t>
      </w:r>
    </w:p>
    <w:p w14:paraId="7CD8D951" w14:textId="77777777" w:rsidR="002A5DBB" w:rsidRDefault="002A5DBB" w:rsidP="002A5DBB">
      <w:pPr>
        <w:pStyle w:val="Default"/>
        <w:numPr>
          <w:ilvl w:val="0"/>
          <w:numId w:val="16"/>
        </w:numPr>
        <w:spacing w:line="360" w:lineRule="auto"/>
        <w:ind w:right="-567"/>
        <w:jc w:val="both"/>
      </w:pPr>
      <w:r w:rsidRPr="002A5DBB">
        <w:t>capacitatea de a aloca timp învățatului</w:t>
      </w:r>
    </w:p>
    <w:p w14:paraId="57992F4E" w14:textId="77777777" w:rsidR="002A5DBB" w:rsidRDefault="002A5DBB" w:rsidP="002A5DBB">
      <w:pPr>
        <w:pStyle w:val="Default"/>
        <w:numPr>
          <w:ilvl w:val="0"/>
          <w:numId w:val="16"/>
        </w:numPr>
        <w:spacing w:line="360" w:lineRule="auto"/>
        <w:ind w:right="-567"/>
        <w:jc w:val="both"/>
      </w:pPr>
      <w:r w:rsidRPr="002A5DBB">
        <w:t>autonomie, disciplina, perseverenta in procesul de învățare</w:t>
      </w:r>
    </w:p>
    <w:p w14:paraId="0DA37982" w14:textId="77777777" w:rsidR="002A5DBB" w:rsidRDefault="002A5DBB" w:rsidP="002A5DBB">
      <w:pPr>
        <w:pStyle w:val="Default"/>
        <w:numPr>
          <w:ilvl w:val="0"/>
          <w:numId w:val="16"/>
        </w:numPr>
        <w:spacing w:line="360" w:lineRule="auto"/>
        <w:ind w:right="-567"/>
        <w:jc w:val="both"/>
      </w:pPr>
      <w:r w:rsidRPr="002A5DBB">
        <w:t>capacitatea de concentrare pe termen scurt si pe termen lung</w:t>
      </w:r>
    </w:p>
    <w:p w14:paraId="5E9B4578" w14:textId="77777777" w:rsidR="002A5DBB" w:rsidRDefault="002A5DBB" w:rsidP="002A5DBB">
      <w:pPr>
        <w:pStyle w:val="Default"/>
        <w:numPr>
          <w:ilvl w:val="0"/>
          <w:numId w:val="16"/>
        </w:numPr>
        <w:spacing w:line="360" w:lineRule="auto"/>
        <w:ind w:right="-567"/>
        <w:jc w:val="both"/>
      </w:pPr>
      <w:r w:rsidRPr="002A5DBB">
        <w:t>capacitatea de a reflecta critic asupra obiectului si scopului învățării</w:t>
      </w:r>
    </w:p>
    <w:p w14:paraId="763EDA1A" w14:textId="77777777" w:rsidR="002A5DBB" w:rsidRDefault="002A5DBB" w:rsidP="002A5DBB">
      <w:pPr>
        <w:pStyle w:val="Default"/>
        <w:numPr>
          <w:ilvl w:val="0"/>
          <w:numId w:val="16"/>
        </w:numPr>
        <w:spacing w:line="360" w:lineRule="auto"/>
        <w:ind w:right="-567"/>
        <w:jc w:val="both"/>
      </w:pPr>
      <w:r w:rsidRPr="002A5DBB">
        <w:t>capacitatea de a citi si înțelege diferite texte adoptând strategia potrivita scopului citirii (informare / instruire / de plăcere) si diferitelor tipuri de text</w:t>
      </w:r>
    </w:p>
    <w:p w14:paraId="04097E68" w14:textId="77777777" w:rsidR="002A5DBB" w:rsidRDefault="002A5DBB" w:rsidP="002A5DBB">
      <w:pPr>
        <w:pStyle w:val="Default"/>
        <w:numPr>
          <w:ilvl w:val="0"/>
          <w:numId w:val="16"/>
        </w:numPr>
        <w:spacing w:line="360" w:lineRule="auto"/>
        <w:ind w:right="-567"/>
        <w:jc w:val="both"/>
      </w:pPr>
      <w:r w:rsidRPr="002A5DBB">
        <w:t>capacitatea de a distinge informația relevanta de cea nerelevanta</w:t>
      </w:r>
    </w:p>
    <w:p w14:paraId="255C803E" w14:textId="64B16200" w:rsidR="0077251B" w:rsidRPr="002A5DBB" w:rsidRDefault="002A5DBB" w:rsidP="002A5DBB">
      <w:pPr>
        <w:pStyle w:val="Default"/>
        <w:numPr>
          <w:ilvl w:val="0"/>
          <w:numId w:val="16"/>
        </w:numPr>
        <w:spacing w:line="360" w:lineRule="auto"/>
        <w:ind w:right="-567"/>
        <w:jc w:val="both"/>
      </w:pPr>
      <w:r w:rsidRPr="002A5DBB">
        <w:t>capacitatea de a-ti formula propriile argumente într-o maniera convingătoare si a lua in considerație alte puncte de vedere exprimate atât verbal cat si in scris</w:t>
      </w:r>
    </w:p>
    <w:p w14:paraId="255C803F" w14:textId="77777777" w:rsidR="00FF1214" w:rsidRPr="001014E2" w:rsidRDefault="00071FF9" w:rsidP="00097AD5">
      <w:pPr>
        <w:pStyle w:val="Default"/>
        <w:spacing w:line="360" w:lineRule="auto"/>
        <w:ind w:right="-567"/>
        <w:jc w:val="both"/>
        <w:rPr>
          <w:i/>
          <w:iCs/>
          <w:sz w:val="23"/>
          <w:szCs w:val="23"/>
        </w:rPr>
      </w:pPr>
      <w:r w:rsidRPr="001014E2">
        <w:rPr>
          <w:b/>
          <w:bCs/>
        </w:rPr>
        <w:t>C. COMPETENŢE SPECIFICE</w:t>
      </w:r>
    </w:p>
    <w:p w14:paraId="1A80E031" w14:textId="77777777" w:rsidR="002A5DBB" w:rsidRPr="002A5DBB" w:rsidRDefault="002A5DBB" w:rsidP="002A5DBB">
      <w:pPr>
        <w:pStyle w:val="Default"/>
        <w:spacing w:line="360" w:lineRule="auto"/>
        <w:jc w:val="both"/>
      </w:pPr>
      <w:r w:rsidRPr="002A5DBB">
        <w:t>Competenţe profesionale</w:t>
      </w:r>
      <w:r w:rsidRPr="002A5DBB">
        <w:tab/>
      </w:r>
    </w:p>
    <w:p w14:paraId="3184C5CA" w14:textId="46B8CDA6" w:rsidR="002A5DBB" w:rsidRPr="002A5DBB" w:rsidRDefault="002A5DBB" w:rsidP="002A5DBB">
      <w:pPr>
        <w:pStyle w:val="Default"/>
        <w:numPr>
          <w:ilvl w:val="0"/>
          <w:numId w:val="17"/>
        </w:numPr>
        <w:spacing w:line="360" w:lineRule="auto"/>
        <w:jc w:val="both"/>
      </w:pPr>
      <w:r w:rsidRPr="002A5DBB">
        <w:t>Aptitudini si competente stiintifice si tehnologice:</w:t>
      </w:r>
    </w:p>
    <w:p w14:paraId="4DA496E5" w14:textId="009E3EB3" w:rsidR="002A5DBB" w:rsidRPr="002A5DBB" w:rsidRDefault="002A5DBB" w:rsidP="002A5DBB">
      <w:pPr>
        <w:pStyle w:val="Default"/>
        <w:numPr>
          <w:ilvl w:val="0"/>
          <w:numId w:val="18"/>
        </w:numPr>
        <w:spacing w:line="360" w:lineRule="auto"/>
        <w:jc w:val="both"/>
      </w:pPr>
      <w:r w:rsidRPr="002A5DBB">
        <w:t>capacitatea de a utiliza si manipula computerul și programele de analiză a datelor, redactare și prezentare a lucrărilor.</w:t>
      </w:r>
    </w:p>
    <w:p w14:paraId="3E3DB817" w14:textId="65EC1EFC" w:rsidR="002A5DBB" w:rsidRPr="002A5DBB" w:rsidRDefault="002A5DBB" w:rsidP="002A5DBB">
      <w:pPr>
        <w:pStyle w:val="Default"/>
        <w:numPr>
          <w:ilvl w:val="0"/>
          <w:numId w:val="18"/>
        </w:numPr>
        <w:spacing w:line="360" w:lineRule="auto"/>
        <w:jc w:val="both"/>
      </w:pPr>
      <w:r w:rsidRPr="002A5DBB">
        <w:t>capacitatea de a identifica provocări specifice din domeniul educației și de a formula politici care să adreseze aceste provocări</w:t>
      </w:r>
    </w:p>
    <w:p w14:paraId="3B7124F8" w14:textId="77777777" w:rsidR="00BB539B" w:rsidRDefault="002A5DBB" w:rsidP="00BB539B">
      <w:pPr>
        <w:pStyle w:val="Default"/>
        <w:numPr>
          <w:ilvl w:val="0"/>
          <w:numId w:val="18"/>
        </w:numPr>
        <w:spacing w:line="360" w:lineRule="auto"/>
        <w:jc w:val="both"/>
      </w:pPr>
      <w:r w:rsidRPr="002A5DBB">
        <w:t>capacitatea de a comunica concluziile unei cercetări / plan de politici publice si rationamentele care au stat la baza acestora</w:t>
      </w:r>
    </w:p>
    <w:p w14:paraId="144A502E" w14:textId="014B2904" w:rsidR="002A5DBB" w:rsidRPr="002A5DBB" w:rsidRDefault="002A5DBB" w:rsidP="00BB539B">
      <w:pPr>
        <w:pStyle w:val="Default"/>
        <w:numPr>
          <w:ilvl w:val="0"/>
          <w:numId w:val="17"/>
        </w:numPr>
        <w:spacing w:line="360" w:lineRule="auto"/>
        <w:jc w:val="both"/>
      </w:pPr>
      <w:r w:rsidRPr="002A5DBB">
        <w:t>Aptitudini si competente civice, interpersonale, interculturale si sociale</w:t>
      </w:r>
    </w:p>
    <w:p w14:paraId="01F2C184" w14:textId="32A24F44" w:rsidR="002A5DBB" w:rsidRPr="002A5DBB" w:rsidRDefault="002A5DBB" w:rsidP="00BB539B">
      <w:pPr>
        <w:pStyle w:val="Default"/>
        <w:numPr>
          <w:ilvl w:val="0"/>
          <w:numId w:val="20"/>
        </w:numPr>
        <w:spacing w:line="360" w:lineRule="auto"/>
        <w:jc w:val="both"/>
      </w:pPr>
      <w:r w:rsidRPr="002A5DBB">
        <w:t>capacitatea de a manifesta solidaritate in a rezolva provocări și probleme specifice sistemului educațional (acces și participare, calitate, relevanță, finanțare și altele) care afecteaza performanța sistemului la nivel național, dar și comparativ la nivel european.</w:t>
      </w:r>
    </w:p>
    <w:p w14:paraId="58F69F65" w14:textId="69AD4476" w:rsidR="002A5DBB" w:rsidRPr="002A5DBB" w:rsidRDefault="002A5DBB" w:rsidP="00BB539B">
      <w:pPr>
        <w:pStyle w:val="Default"/>
        <w:numPr>
          <w:ilvl w:val="0"/>
          <w:numId w:val="20"/>
        </w:numPr>
        <w:spacing w:line="360" w:lineRule="auto"/>
        <w:jc w:val="both"/>
      </w:pPr>
      <w:r w:rsidRPr="002A5DBB">
        <w:t>capacitatea de a relationa eficient cu institutii din domeniul public în demersul de cunoaștere a unei problematici specifice</w:t>
      </w:r>
    </w:p>
    <w:p w14:paraId="084DD99D" w14:textId="1E1AF884" w:rsidR="002A5DBB" w:rsidRPr="002A5DBB" w:rsidRDefault="002A5DBB" w:rsidP="00BB539B">
      <w:pPr>
        <w:pStyle w:val="Default"/>
        <w:numPr>
          <w:ilvl w:val="0"/>
          <w:numId w:val="20"/>
        </w:numPr>
        <w:spacing w:line="360" w:lineRule="auto"/>
        <w:jc w:val="both"/>
      </w:pPr>
      <w:r w:rsidRPr="002A5DBB">
        <w:lastRenderedPageBreak/>
        <w:t>capacitatea de a comunica constructiv in situatii sociale diferite (a tolera alte puncte de vedere, a constientiza responsabilitatea individuala si colectiva), în special prin organizarea unor dezbateri</w:t>
      </w:r>
    </w:p>
    <w:p w14:paraId="2DA20014" w14:textId="5BE6BAD7" w:rsidR="002A5DBB" w:rsidRPr="002A5DBB" w:rsidRDefault="002A5DBB" w:rsidP="00BB539B">
      <w:pPr>
        <w:pStyle w:val="Default"/>
        <w:numPr>
          <w:ilvl w:val="0"/>
          <w:numId w:val="20"/>
        </w:numPr>
        <w:spacing w:line="360" w:lineRule="auto"/>
        <w:jc w:val="both"/>
      </w:pPr>
      <w:r w:rsidRPr="002A5DBB">
        <w:t>capacitatea de a separa intre viata personala si cea profesionala</w:t>
      </w:r>
    </w:p>
    <w:p w14:paraId="3AE9C0E7" w14:textId="71650303" w:rsidR="002A5DBB" w:rsidRPr="002A5DBB" w:rsidRDefault="002A5DBB" w:rsidP="00BB539B">
      <w:pPr>
        <w:pStyle w:val="Default"/>
        <w:numPr>
          <w:ilvl w:val="0"/>
          <w:numId w:val="20"/>
        </w:numPr>
        <w:spacing w:line="360" w:lineRule="auto"/>
        <w:jc w:val="both"/>
      </w:pPr>
      <w:r w:rsidRPr="002A5DBB">
        <w:t>capacitatea de a constientiza si intelege în context european și internațional comparativ condițiile specifice sistemului național de educație</w:t>
      </w:r>
    </w:p>
    <w:p w14:paraId="71278682" w14:textId="77777777" w:rsidR="002A5DBB" w:rsidRPr="002A5DBB" w:rsidRDefault="002A5DBB" w:rsidP="002A5DBB">
      <w:pPr>
        <w:pStyle w:val="Default"/>
        <w:spacing w:line="360" w:lineRule="auto"/>
        <w:jc w:val="both"/>
      </w:pPr>
      <w:r w:rsidRPr="002A5DBB">
        <w:t>Competenţe transversale</w:t>
      </w:r>
    </w:p>
    <w:p w14:paraId="6639354D" w14:textId="679DE260" w:rsidR="002A5DBB" w:rsidRDefault="002A5DBB" w:rsidP="002A5DBB">
      <w:pPr>
        <w:pStyle w:val="Default"/>
        <w:numPr>
          <w:ilvl w:val="0"/>
          <w:numId w:val="19"/>
        </w:numPr>
        <w:spacing w:line="360" w:lineRule="auto"/>
        <w:jc w:val="both"/>
      </w:pPr>
      <w:r w:rsidRPr="002A5DBB">
        <w:t>Utilizarea pe tot parcursul activităților a competențelor digitale: utilizarea surselor academice de informare, prin consultarea bazelor de date cu articole academice; utilizarea programelor pentru redactare de text, analiză de date, prezentare, etc. utilizarea unei platforme online (</w:t>
      </w:r>
      <w:r w:rsidR="00BB539B">
        <w:t>e.politice.ro</w:t>
      </w:r>
      <w:r w:rsidRPr="002A5DBB">
        <w:t>) pentru organizarea unor activități online cu rol educational.</w:t>
      </w:r>
    </w:p>
    <w:p w14:paraId="63D3DB53" w14:textId="77777777" w:rsidR="002A5DBB" w:rsidRDefault="002A5DBB" w:rsidP="002A5DBB">
      <w:pPr>
        <w:pStyle w:val="Default"/>
        <w:numPr>
          <w:ilvl w:val="0"/>
          <w:numId w:val="19"/>
        </w:numPr>
        <w:spacing w:line="360" w:lineRule="auto"/>
        <w:jc w:val="both"/>
      </w:pPr>
      <w:r w:rsidRPr="002A5DBB">
        <w:t>Spiritul de inițiativă și antreprenoriat: este o competență adresată prin oferirea unui cadru simulat de elaborare a unei propuneri de politică publică, respectiv proiect de cercetare (care include nu doar dimensiunea științifică ci și implementarea propriu-zisă a proiectului), în funcție de opțiunile și interesele persoanelor care participă la curs și seminar.</w:t>
      </w:r>
    </w:p>
    <w:p w14:paraId="0671D999" w14:textId="6ED7B1FB" w:rsidR="009A088D" w:rsidRPr="002A5DBB" w:rsidRDefault="002A5DBB" w:rsidP="002A5DBB">
      <w:pPr>
        <w:pStyle w:val="Default"/>
        <w:numPr>
          <w:ilvl w:val="0"/>
          <w:numId w:val="19"/>
        </w:numPr>
        <w:spacing w:line="360" w:lineRule="auto"/>
        <w:jc w:val="both"/>
      </w:pPr>
      <w:r w:rsidRPr="002A5DBB">
        <w:t>Competențe civice și sociale, altele decât cele fundamentale, sunt parțial realizate, în funcție de tematică, gradul de dificultate și complexitate și interesele persoanle ale participanților și participantelor la curs și seminar, cu privire la politica educațională sau proiectul de cercetare științifică propus.</w:t>
      </w:r>
    </w:p>
    <w:p w14:paraId="255C8046" w14:textId="097FC9EA" w:rsidR="00FF1214" w:rsidRPr="0002145D" w:rsidRDefault="00FF1214" w:rsidP="0002145D">
      <w:pPr>
        <w:pStyle w:val="Default"/>
        <w:spacing w:line="360" w:lineRule="auto"/>
        <w:jc w:val="both"/>
      </w:pPr>
      <w:r w:rsidRPr="001014E2">
        <w:rPr>
          <w:b/>
          <w:bCs/>
        </w:rPr>
        <w:t xml:space="preserve">D. CONŢINUTUL DISCIPLINEI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6"/>
        <w:gridCol w:w="4286"/>
        <w:gridCol w:w="1060"/>
      </w:tblGrid>
      <w:tr w:rsidR="00BB539B" w:rsidRPr="008725D3" w14:paraId="4D6F7B80" w14:textId="77777777" w:rsidTr="007B68B1">
        <w:trPr>
          <w:gridAfter w:val="1"/>
          <w:wAfter w:w="1060" w:type="dxa"/>
        </w:trPr>
        <w:tc>
          <w:tcPr>
            <w:tcW w:w="3794" w:type="dxa"/>
          </w:tcPr>
          <w:p w14:paraId="3C67BAD1" w14:textId="77777777" w:rsidR="00BB539B" w:rsidRPr="008725D3" w:rsidRDefault="00BB539B" w:rsidP="007B68B1">
            <w:pPr>
              <w:spacing w:after="0"/>
              <w:jc w:val="both"/>
              <w:rPr>
                <w:rFonts w:ascii="Times New Roman" w:hAnsi="Times New Roman"/>
                <w:sz w:val="20"/>
                <w:szCs w:val="20"/>
              </w:rPr>
            </w:pPr>
            <w:r w:rsidRPr="008725D3">
              <w:rPr>
                <w:rFonts w:ascii="Times New Roman" w:hAnsi="Times New Roman"/>
                <w:sz w:val="20"/>
                <w:szCs w:val="20"/>
              </w:rPr>
              <w:t>8.1. Curs</w:t>
            </w:r>
          </w:p>
        </w:tc>
        <w:tc>
          <w:tcPr>
            <w:tcW w:w="4394" w:type="dxa"/>
          </w:tcPr>
          <w:p w14:paraId="7276AA48" w14:textId="77777777" w:rsidR="00BB539B" w:rsidRPr="008725D3" w:rsidRDefault="00BB539B" w:rsidP="007B68B1">
            <w:pPr>
              <w:spacing w:after="0"/>
              <w:jc w:val="both"/>
              <w:rPr>
                <w:rFonts w:ascii="Times New Roman" w:hAnsi="Times New Roman"/>
                <w:sz w:val="20"/>
                <w:szCs w:val="20"/>
              </w:rPr>
            </w:pPr>
            <w:r w:rsidRPr="008725D3">
              <w:rPr>
                <w:rFonts w:ascii="Times New Roman" w:hAnsi="Times New Roman"/>
                <w:sz w:val="20"/>
                <w:szCs w:val="20"/>
              </w:rPr>
              <w:t>Metode de predare</w:t>
            </w:r>
          </w:p>
        </w:tc>
      </w:tr>
      <w:tr w:rsidR="00BB539B" w:rsidRPr="008725D3" w14:paraId="75512F8E" w14:textId="77777777" w:rsidTr="007B68B1">
        <w:trPr>
          <w:gridAfter w:val="1"/>
          <w:wAfter w:w="1060" w:type="dxa"/>
        </w:trPr>
        <w:tc>
          <w:tcPr>
            <w:tcW w:w="3794" w:type="dxa"/>
          </w:tcPr>
          <w:p w14:paraId="48E1B457" w14:textId="77777777" w:rsidR="00BB539B"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1. Bunuri publice, bunuri private, pozitionarea educatiei în politicile publice.</w:t>
            </w:r>
          </w:p>
        </w:tc>
        <w:tc>
          <w:tcPr>
            <w:tcW w:w="4394" w:type="dxa"/>
          </w:tcPr>
          <w:p w14:paraId="15D05B74"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rPr>
              <w:t>Expunere. Dezbatere</w:t>
            </w:r>
          </w:p>
        </w:tc>
      </w:tr>
      <w:tr w:rsidR="00BB539B" w:rsidRPr="008725D3" w14:paraId="7D1E2049" w14:textId="77777777" w:rsidTr="007B68B1">
        <w:trPr>
          <w:gridAfter w:val="1"/>
          <w:wAfter w:w="1060" w:type="dxa"/>
        </w:trPr>
        <w:tc>
          <w:tcPr>
            <w:tcW w:w="3794" w:type="dxa"/>
          </w:tcPr>
          <w:p w14:paraId="469A4030" w14:textId="77777777" w:rsidR="00BB539B"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2. Conceptul de ”performanță” în politicile publice și particularizarea acestuia în cazul educației. Metode, instrumente și practici de evaluare a politicilor publice din domeniul educației</w:t>
            </w:r>
          </w:p>
        </w:tc>
        <w:tc>
          <w:tcPr>
            <w:tcW w:w="4394" w:type="dxa"/>
          </w:tcPr>
          <w:p w14:paraId="269D56F8"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rPr>
              <w:t>Expunere.</w:t>
            </w:r>
          </w:p>
        </w:tc>
      </w:tr>
      <w:tr w:rsidR="00BB539B" w:rsidRPr="008725D3" w14:paraId="2E6E7219" w14:textId="77777777" w:rsidTr="007B68B1">
        <w:trPr>
          <w:gridAfter w:val="1"/>
          <w:wAfter w:w="1060" w:type="dxa"/>
        </w:trPr>
        <w:tc>
          <w:tcPr>
            <w:tcW w:w="3794" w:type="dxa"/>
          </w:tcPr>
          <w:p w14:paraId="07C99991" w14:textId="77777777" w:rsidR="00BB539B"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3. Rolul statului în educație. Funcția administrativă a statului vs. Funcția de evaluare și planificare strategică (coordonare)</w:t>
            </w:r>
          </w:p>
        </w:tc>
        <w:tc>
          <w:tcPr>
            <w:tcW w:w="4394" w:type="dxa"/>
          </w:tcPr>
          <w:p w14:paraId="5C150BB1"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rPr>
              <w:t>Dezbatere. Activitate pe grupe.</w:t>
            </w:r>
          </w:p>
        </w:tc>
      </w:tr>
      <w:tr w:rsidR="00BB539B" w:rsidRPr="008725D3" w14:paraId="55C07A9A" w14:textId="77777777" w:rsidTr="007B68B1">
        <w:trPr>
          <w:gridAfter w:val="1"/>
          <w:wAfter w:w="1060" w:type="dxa"/>
        </w:trPr>
        <w:tc>
          <w:tcPr>
            <w:tcW w:w="3794" w:type="dxa"/>
          </w:tcPr>
          <w:p w14:paraId="5E1BF907" w14:textId="77777777" w:rsidR="00BB539B"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4. Provocări specifice sistemului educațional din România.</w:t>
            </w:r>
          </w:p>
        </w:tc>
        <w:tc>
          <w:tcPr>
            <w:tcW w:w="4394" w:type="dxa"/>
          </w:tcPr>
          <w:p w14:paraId="722D7A79"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rPr>
              <w:t>Activitate pe grupe. Prezentări și dezbateri moderate. Discuții pe platforma online. Vizionare de film.</w:t>
            </w:r>
          </w:p>
        </w:tc>
      </w:tr>
      <w:tr w:rsidR="00BB539B" w:rsidRPr="008725D3" w14:paraId="1163E3BC" w14:textId="77777777" w:rsidTr="007B68B1">
        <w:trPr>
          <w:gridAfter w:val="1"/>
          <w:wAfter w:w="1060" w:type="dxa"/>
        </w:trPr>
        <w:tc>
          <w:tcPr>
            <w:tcW w:w="3794" w:type="dxa"/>
          </w:tcPr>
          <w:p w14:paraId="542C4F85" w14:textId="77777777" w:rsidR="00BB539B"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 xml:space="preserve">5. Studiu de caz: analiza instituțională a sistemului universitar românesc. </w:t>
            </w:r>
          </w:p>
        </w:tc>
        <w:tc>
          <w:tcPr>
            <w:tcW w:w="4394" w:type="dxa"/>
          </w:tcPr>
          <w:p w14:paraId="42F37888"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rPr>
              <w:t>Expunere.</w:t>
            </w:r>
          </w:p>
        </w:tc>
      </w:tr>
      <w:tr w:rsidR="00BB539B" w:rsidRPr="008725D3" w14:paraId="10AB8071" w14:textId="77777777" w:rsidTr="007B68B1">
        <w:trPr>
          <w:gridAfter w:val="1"/>
          <w:wAfter w:w="1060" w:type="dxa"/>
        </w:trPr>
        <w:tc>
          <w:tcPr>
            <w:tcW w:w="3794" w:type="dxa"/>
          </w:tcPr>
          <w:p w14:paraId="40244D1B" w14:textId="77777777" w:rsidR="00BB539B"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6. Provocări actuale pentru universități. Analiza comparativă la nivel european privind studii de caz.</w:t>
            </w:r>
          </w:p>
        </w:tc>
        <w:tc>
          <w:tcPr>
            <w:tcW w:w="4394" w:type="dxa"/>
          </w:tcPr>
          <w:p w14:paraId="4BAEEC49"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rPr>
              <w:t>Activitate pe grupe. Prezentare. Dezbatere.</w:t>
            </w:r>
          </w:p>
        </w:tc>
      </w:tr>
      <w:tr w:rsidR="00BB539B" w:rsidRPr="00A67B56" w14:paraId="119C49C0" w14:textId="77777777" w:rsidTr="007B68B1">
        <w:trPr>
          <w:trHeight w:val="236"/>
        </w:trPr>
        <w:tc>
          <w:tcPr>
            <w:tcW w:w="9288" w:type="dxa"/>
            <w:gridSpan w:val="3"/>
            <w:shd w:val="clear" w:color="auto" w:fill="000000"/>
          </w:tcPr>
          <w:p w14:paraId="1E6B3350" w14:textId="77777777" w:rsidR="00BB539B" w:rsidRPr="00A67B56" w:rsidRDefault="00BB539B" w:rsidP="007B68B1">
            <w:pPr>
              <w:widowControl w:val="0"/>
              <w:autoSpaceDE w:val="0"/>
              <w:autoSpaceDN w:val="0"/>
              <w:adjustRightInd w:val="0"/>
              <w:spacing w:after="0" w:line="240" w:lineRule="auto"/>
              <w:rPr>
                <w:rFonts w:ascii="Times New Roman" w:hAnsi="Times New Roman"/>
                <w:b/>
                <w:sz w:val="20"/>
                <w:szCs w:val="20"/>
              </w:rPr>
            </w:pPr>
          </w:p>
        </w:tc>
      </w:tr>
      <w:tr w:rsidR="00BB539B" w:rsidRPr="008725D3" w14:paraId="19CC4292" w14:textId="77777777" w:rsidTr="007B68B1">
        <w:trPr>
          <w:gridAfter w:val="1"/>
          <w:wAfter w:w="1060" w:type="dxa"/>
        </w:trPr>
        <w:tc>
          <w:tcPr>
            <w:tcW w:w="3794" w:type="dxa"/>
          </w:tcPr>
          <w:p w14:paraId="33C5FB61" w14:textId="77777777" w:rsidR="00BB539B" w:rsidRPr="008725D3" w:rsidRDefault="00BB539B" w:rsidP="007B68B1">
            <w:pPr>
              <w:spacing w:after="0" w:line="240" w:lineRule="auto"/>
              <w:jc w:val="both"/>
              <w:rPr>
                <w:rFonts w:ascii="Times New Roman" w:hAnsi="Times New Roman"/>
                <w:sz w:val="20"/>
                <w:szCs w:val="20"/>
              </w:rPr>
            </w:pPr>
            <w:r w:rsidRPr="008725D3">
              <w:rPr>
                <w:rFonts w:ascii="Times New Roman" w:hAnsi="Times New Roman"/>
                <w:sz w:val="20"/>
                <w:szCs w:val="20"/>
              </w:rPr>
              <w:t>8.2. Seminar/laborator</w:t>
            </w:r>
          </w:p>
        </w:tc>
        <w:tc>
          <w:tcPr>
            <w:tcW w:w="4394" w:type="dxa"/>
          </w:tcPr>
          <w:p w14:paraId="4D498DA8" w14:textId="77777777" w:rsidR="00BB539B" w:rsidRPr="008725D3" w:rsidRDefault="00BB539B" w:rsidP="007B68B1">
            <w:pPr>
              <w:spacing w:after="0" w:line="240" w:lineRule="auto"/>
              <w:jc w:val="center"/>
              <w:rPr>
                <w:rFonts w:ascii="Times New Roman" w:hAnsi="Times New Roman"/>
                <w:sz w:val="20"/>
                <w:szCs w:val="20"/>
              </w:rPr>
            </w:pPr>
          </w:p>
        </w:tc>
      </w:tr>
      <w:tr w:rsidR="00BB539B" w:rsidRPr="008725D3" w14:paraId="7898FA41" w14:textId="77777777" w:rsidTr="007B68B1">
        <w:trPr>
          <w:gridAfter w:val="1"/>
          <w:wAfter w:w="1060" w:type="dxa"/>
        </w:trPr>
        <w:tc>
          <w:tcPr>
            <w:tcW w:w="3794" w:type="dxa"/>
          </w:tcPr>
          <w:p w14:paraId="4C229B07" w14:textId="77777777" w:rsidR="00BB539B" w:rsidRPr="008725D3" w:rsidRDefault="00BB539B" w:rsidP="007B68B1">
            <w:pPr>
              <w:spacing w:after="0" w:line="240" w:lineRule="auto"/>
              <w:jc w:val="both"/>
              <w:rPr>
                <w:rFonts w:ascii="Times New Roman" w:hAnsi="Times New Roman"/>
                <w:sz w:val="20"/>
                <w:szCs w:val="20"/>
              </w:rPr>
            </w:pPr>
            <w:r>
              <w:rPr>
                <w:rFonts w:ascii="Times New Roman" w:hAnsi="Times New Roman"/>
                <w:sz w:val="20"/>
                <w:szCs w:val="20"/>
              </w:rPr>
              <w:lastRenderedPageBreak/>
              <w:t>1. Introducerea seminarului, clarificări administrative, evaluare ghid de analiză a politicilor educaționale</w:t>
            </w:r>
          </w:p>
        </w:tc>
        <w:tc>
          <w:tcPr>
            <w:tcW w:w="4394" w:type="dxa"/>
          </w:tcPr>
          <w:p w14:paraId="66A23A07"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rPr>
              <w:t>Expunere frontală, întrebări direcționate, lucru pe grupe</w:t>
            </w:r>
          </w:p>
        </w:tc>
      </w:tr>
      <w:tr w:rsidR="00BB539B" w:rsidRPr="008725D3" w14:paraId="56735A74" w14:textId="77777777" w:rsidTr="007B68B1">
        <w:trPr>
          <w:gridAfter w:val="1"/>
          <w:wAfter w:w="1060" w:type="dxa"/>
        </w:trPr>
        <w:tc>
          <w:tcPr>
            <w:tcW w:w="3794" w:type="dxa"/>
          </w:tcPr>
          <w:p w14:paraId="1FC5760B" w14:textId="77777777" w:rsidR="00BB539B" w:rsidRPr="009C01C1"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2. Metodologia cercetării în educație</w:t>
            </w:r>
          </w:p>
        </w:tc>
        <w:tc>
          <w:tcPr>
            <w:tcW w:w="4394" w:type="dxa"/>
          </w:tcPr>
          <w:p w14:paraId="754E4328"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rPr>
              <w:t>Discuție pe baza textelor, dezbateri</w:t>
            </w:r>
          </w:p>
        </w:tc>
      </w:tr>
      <w:tr w:rsidR="00BB539B" w:rsidRPr="008725D3" w14:paraId="47B158D4" w14:textId="77777777" w:rsidTr="007B68B1">
        <w:trPr>
          <w:gridAfter w:val="1"/>
          <w:wAfter w:w="1060" w:type="dxa"/>
        </w:trPr>
        <w:tc>
          <w:tcPr>
            <w:tcW w:w="3794" w:type="dxa"/>
          </w:tcPr>
          <w:p w14:paraId="2261F6F9" w14:textId="77777777" w:rsidR="00BB539B" w:rsidRPr="00EA659C"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3. Evaluarea politicilor și programelor educaționale</w:t>
            </w:r>
          </w:p>
        </w:tc>
        <w:tc>
          <w:tcPr>
            <w:tcW w:w="4394" w:type="dxa"/>
          </w:tcPr>
          <w:p w14:paraId="234C7857"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rPr>
              <w:t>Discuție pe baza textelor, aplicații plecând de la documente de politici educaționale</w:t>
            </w:r>
          </w:p>
        </w:tc>
      </w:tr>
      <w:tr w:rsidR="00BB539B" w:rsidRPr="008725D3" w14:paraId="0852F73A" w14:textId="77777777" w:rsidTr="007B68B1">
        <w:trPr>
          <w:gridAfter w:val="1"/>
          <w:wAfter w:w="1060" w:type="dxa"/>
        </w:trPr>
        <w:tc>
          <w:tcPr>
            <w:tcW w:w="3794" w:type="dxa"/>
          </w:tcPr>
          <w:p w14:paraId="79A991D5" w14:textId="77777777" w:rsidR="00BB539B" w:rsidRPr="009C01C1"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4. Analiza politicilor și programelor cu privire la accesul și participarea în educație (1)</w:t>
            </w:r>
          </w:p>
        </w:tc>
        <w:tc>
          <w:tcPr>
            <w:tcW w:w="4394" w:type="dxa"/>
          </w:tcPr>
          <w:p w14:paraId="794C89E4"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rPr>
              <w:t xml:space="preserve">Discuție pe baza textelor, prezentări ale unor programe care și-au propus să îmbunătățească accesul și participare la educație din lume </w:t>
            </w:r>
          </w:p>
        </w:tc>
      </w:tr>
      <w:tr w:rsidR="00BB539B" w:rsidRPr="008725D3" w14:paraId="2CCEA944" w14:textId="77777777" w:rsidTr="007B68B1">
        <w:trPr>
          <w:gridAfter w:val="1"/>
          <w:wAfter w:w="1060" w:type="dxa"/>
        </w:trPr>
        <w:tc>
          <w:tcPr>
            <w:tcW w:w="3794" w:type="dxa"/>
          </w:tcPr>
          <w:p w14:paraId="71E3283C" w14:textId="77777777" w:rsidR="00BB539B" w:rsidRPr="00EA659C"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5. Analiza politicilor și programelor cu privire la accesul și participarea în educație (2)</w:t>
            </w:r>
          </w:p>
        </w:tc>
        <w:tc>
          <w:tcPr>
            <w:tcW w:w="4394" w:type="dxa"/>
          </w:tcPr>
          <w:p w14:paraId="328B8088"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rPr>
              <w:t>Prezentări privind programe menite să faciliteze accesul și participarea la educație din România; comparație cu programe asemănătoare</w:t>
            </w:r>
          </w:p>
        </w:tc>
      </w:tr>
      <w:tr w:rsidR="00BB539B" w:rsidRPr="008725D3" w14:paraId="69E1EB2A" w14:textId="77777777" w:rsidTr="007B68B1">
        <w:trPr>
          <w:gridAfter w:val="1"/>
          <w:wAfter w:w="1060" w:type="dxa"/>
        </w:trPr>
        <w:tc>
          <w:tcPr>
            <w:tcW w:w="3794" w:type="dxa"/>
          </w:tcPr>
          <w:p w14:paraId="0F40509A" w14:textId="77777777" w:rsidR="00BB539B" w:rsidRPr="009C01C1"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6. Rolul politicilor educaționale și contribuția școlii în reducerea inegalităților sociale</w:t>
            </w:r>
          </w:p>
        </w:tc>
        <w:tc>
          <w:tcPr>
            <w:tcW w:w="4394" w:type="dxa"/>
          </w:tcPr>
          <w:p w14:paraId="3160CE95"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rPr>
              <w:t>Expunere frontală, analiză date statistice – aplicații pe sistemul de învățământ românesc</w:t>
            </w:r>
          </w:p>
        </w:tc>
      </w:tr>
      <w:tr w:rsidR="00BB539B" w:rsidRPr="008725D3" w14:paraId="1C6D5C55" w14:textId="77777777" w:rsidTr="007B68B1">
        <w:trPr>
          <w:gridAfter w:val="1"/>
          <w:wAfter w:w="1060" w:type="dxa"/>
        </w:trPr>
        <w:tc>
          <w:tcPr>
            <w:tcW w:w="3794" w:type="dxa"/>
          </w:tcPr>
          <w:p w14:paraId="1B079D93" w14:textId="77777777" w:rsidR="00BB539B" w:rsidRPr="009C01C1"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7. Performanța sistemelor de învățământ în context internațional (1)</w:t>
            </w:r>
          </w:p>
        </w:tc>
        <w:tc>
          <w:tcPr>
            <w:tcW w:w="4394" w:type="dxa"/>
          </w:tcPr>
          <w:p w14:paraId="0E34D8C9"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rPr>
              <w:t>Prezentări testări internaționale comparative (TIMSS, PIRLS, PISA)</w:t>
            </w:r>
          </w:p>
        </w:tc>
      </w:tr>
      <w:tr w:rsidR="00BB539B" w:rsidRPr="008725D3" w14:paraId="32227857" w14:textId="77777777" w:rsidTr="007B68B1">
        <w:trPr>
          <w:gridAfter w:val="1"/>
          <w:wAfter w:w="1060" w:type="dxa"/>
        </w:trPr>
        <w:tc>
          <w:tcPr>
            <w:tcW w:w="3794" w:type="dxa"/>
          </w:tcPr>
          <w:p w14:paraId="2A7BDD08" w14:textId="77777777" w:rsidR="00BB539B" w:rsidRPr="009C01C1"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8. Performanța sistemelor de învățământ în context internațional (2)</w:t>
            </w:r>
          </w:p>
        </w:tc>
        <w:tc>
          <w:tcPr>
            <w:tcW w:w="4394" w:type="dxa"/>
          </w:tcPr>
          <w:p w14:paraId="6CDB3F90"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rPr>
              <w:t>Analiza statistică factorilor care influențează performanța elevilor în sistemul de învățământ din România</w:t>
            </w:r>
          </w:p>
        </w:tc>
      </w:tr>
      <w:tr w:rsidR="00BB539B" w:rsidRPr="008725D3" w14:paraId="70D8F756" w14:textId="77777777" w:rsidTr="007B68B1">
        <w:trPr>
          <w:gridAfter w:val="1"/>
          <w:wAfter w:w="1060" w:type="dxa"/>
        </w:trPr>
        <w:tc>
          <w:tcPr>
            <w:tcW w:w="3794" w:type="dxa"/>
          </w:tcPr>
          <w:p w14:paraId="6F6F735A" w14:textId="77777777" w:rsidR="00BB539B"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9. Cercetare calitativă privind dificultățile de acces și participare ale studenților în învățământul universitar (1)</w:t>
            </w:r>
          </w:p>
        </w:tc>
        <w:tc>
          <w:tcPr>
            <w:tcW w:w="4394" w:type="dxa"/>
          </w:tcPr>
          <w:p w14:paraId="21A9240E"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rPr>
              <w:t>Stabilirea logicii cercetării, construcție grilă de interviu, stabilirea grupurilor de studenți care vor fi intervievați</w:t>
            </w:r>
          </w:p>
        </w:tc>
      </w:tr>
      <w:tr w:rsidR="00BB539B" w:rsidRPr="008725D3" w14:paraId="3B2F1BCC" w14:textId="77777777" w:rsidTr="007B68B1">
        <w:trPr>
          <w:gridAfter w:val="1"/>
          <w:wAfter w:w="1060" w:type="dxa"/>
        </w:trPr>
        <w:tc>
          <w:tcPr>
            <w:tcW w:w="3794" w:type="dxa"/>
          </w:tcPr>
          <w:p w14:paraId="4E959EAB" w14:textId="77777777" w:rsidR="00BB539B"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10. Cercetare calitativă privind dificultățile de acces și participare ale studenților în învățământul universitar (2)</w:t>
            </w:r>
          </w:p>
        </w:tc>
        <w:tc>
          <w:tcPr>
            <w:tcW w:w="4394" w:type="dxa"/>
          </w:tcPr>
          <w:p w14:paraId="5CF4ECD9"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lang w:val="it-IT"/>
              </w:rPr>
              <w:t>Testare grilă de interviu, exerciții de moderare</w:t>
            </w:r>
          </w:p>
        </w:tc>
      </w:tr>
      <w:tr w:rsidR="00BB539B" w14:paraId="082BD401" w14:textId="77777777" w:rsidTr="007B68B1">
        <w:trPr>
          <w:gridAfter w:val="1"/>
          <w:wAfter w:w="1060" w:type="dxa"/>
        </w:trPr>
        <w:tc>
          <w:tcPr>
            <w:tcW w:w="3794" w:type="dxa"/>
          </w:tcPr>
          <w:p w14:paraId="194A2838" w14:textId="77777777" w:rsidR="00BB539B"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11. Cercetare calitativă privind dificultățile de acces și participare ale studenților în învățământul universitar (3)</w:t>
            </w:r>
          </w:p>
        </w:tc>
        <w:tc>
          <w:tcPr>
            <w:tcW w:w="4394" w:type="dxa"/>
          </w:tcPr>
          <w:p w14:paraId="4CF5AE48" w14:textId="77777777" w:rsidR="00BB539B"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Analiza datelor calitative și elaborarea unui raport de cercetare</w:t>
            </w:r>
          </w:p>
        </w:tc>
      </w:tr>
      <w:tr w:rsidR="00BB539B" w14:paraId="5AABA55C" w14:textId="77777777" w:rsidTr="007B68B1">
        <w:trPr>
          <w:gridAfter w:val="1"/>
          <w:wAfter w:w="1060" w:type="dxa"/>
        </w:trPr>
        <w:tc>
          <w:tcPr>
            <w:tcW w:w="3794" w:type="dxa"/>
          </w:tcPr>
          <w:p w14:paraId="1470E7A8" w14:textId="77777777" w:rsidR="00BB539B"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12. Evalurea logicii proiectului ROSE (</w:t>
            </w:r>
            <w:r w:rsidRPr="009C718A">
              <w:rPr>
                <w:rFonts w:ascii="Times New Roman" w:hAnsi="Times New Roman"/>
                <w:sz w:val="20"/>
                <w:szCs w:val="20"/>
                <w:lang w:val="it-IT"/>
              </w:rPr>
              <w:t>Proiectul privind Învățământul Secundar din România</w:t>
            </w:r>
            <w:r>
              <w:rPr>
                <w:rFonts w:ascii="Times New Roman" w:hAnsi="Times New Roman"/>
                <w:sz w:val="20"/>
                <w:szCs w:val="20"/>
                <w:lang w:val="it-IT"/>
              </w:rPr>
              <w:t>)  din perspectiva rezultatelor cercetării calitative</w:t>
            </w:r>
          </w:p>
        </w:tc>
        <w:tc>
          <w:tcPr>
            <w:tcW w:w="4394" w:type="dxa"/>
          </w:tcPr>
          <w:p w14:paraId="4A73E1D6" w14:textId="77777777" w:rsidR="00BB539B"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Prezentarea proiectului ROSE și analiza lor din perspectiva dificultăților de acces și participare identificate în cercetarea desfășurată</w:t>
            </w:r>
          </w:p>
        </w:tc>
      </w:tr>
      <w:tr w:rsidR="00BB539B" w14:paraId="183975CB" w14:textId="77777777" w:rsidTr="007B68B1">
        <w:trPr>
          <w:gridAfter w:val="1"/>
          <w:wAfter w:w="1060" w:type="dxa"/>
        </w:trPr>
        <w:tc>
          <w:tcPr>
            <w:tcW w:w="3794" w:type="dxa"/>
          </w:tcPr>
          <w:p w14:paraId="05F3935E" w14:textId="77777777" w:rsidR="00BB539B"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13. Redactarea unei propuneri de politici educaționale (1)</w:t>
            </w:r>
          </w:p>
        </w:tc>
        <w:tc>
          <w:tcPr>
            <w:tcW w:w="4394" w:type="dxa"/>
          </w:tcPr>
          <w:p w14:paraId="6C692190" w14:textId="77777777" w:rsidR="00BB539B"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Expunere frontală, lucru pe grupe, discuții direcționate</w:t>
            </w:r>
          </w:p>
        </w:tc>
      </w:tr>
      <w:tr w:rsidR="00BB539B" w:rsidRPr="008725D3" w14:paraId="12C2B20C" w14:textId="77777777" w:rsidTr="007B68B1">
        <w:trPr>
          <w:gridAfter w:val="1"/>
          <w:wAfter w:w="1060" w:type="dxa"/>
        </w:trPr>
        <w:tc>
          <w:tcPr>
            <w:tcW w:w="3794" w:type="dxa"/>
          </w:tcPr>
          <w:p w14:paraId="6F68B68C" w14:textId="77777777" w:rsidR="00BB539B" w:rsidRDefault="00BB539B" w:rsidP="007B68B1">
            <w:pPr>
              <w:spacing w:after="0" w:line="240" w:lineRule="auto"/>
              <w:rPr>
                <w:rFonts w:ascii="Times New Roman" w:hAnsi="Times New Roman"/>
                <w:sz w:val="20"/>
                <w:szCs w:val="20"/>
                <w:lang w:val="it-IT"/>
              </w:rPr>
            </w:pPr>
            <w:r>
              <w:rPr>
                <w:rFonts w:ascii="Times New Roman" w:hAnsi="Times New Roman"/>
                <w:sz w:val="20"/>
                <w:szCs w:val="20"/>
                <w:lang w:val="it-IT"/>
              </w:rPr>
              <w:t>14. Redactarea unei propuneri de politici educaționale (2)</w:t>
            </w:r>
          </w:p>
        </w:tc>
        <w:tc>
          <w:tcPr>
            <w:tcW w:w="4394" w:type="dxa"/>
          </w:tcPr>
          <w:p w14:paraId="1F3015D8" w14:textId="77777777" w:rsidR="00BB539B" w:rsidRPr="008725D3" w:rsidRDefault="00BB539B" w:rsidP="007B68B1">
            <w:pPr>
              <w:spacing w:after="0" w:line="240" w:lineRule="auto"/>
              <w:rPr>
                <w:rFonts w:ascii="Times New Roman" w:hAnsi="Times New Roman"/>
                <w:sz w:val="20"/>
                <w:szCs w:val="20"/>
              </w:rPr>
            </w:pPr>
            <w:r>
              <w:rPr>
                <w:rFonts w:ascii="Times New Roman" w:hAnsi="Times New Roman"/>
                <w:sz w:val="20"/>
                <w:szCs w:val="20"/>
              </w:rPr>
              <w:t>Exerciții de scriere a unui document de politici educaționale</w:t>
            </w:r>
          </w:p>
        </w:tc>
      </w:tr>
    </w:tbl>
    <w:p w14:paraId="6C2E044C" w14:textId="77777777" w:rsidR="00BB539B" w:rsidRDefault="00BB539B" w:rsidP="00F21297">
      <w:pPr>
        <w:spacing w:after="0" w:line="360" w:lineRule="auto"/>
        <w:ind w:right="-567"/>
        <w:jc w:val="both"/>
        <w:rPr>
          <w:rFonts w:ascii="Times New Roman" w:hAnsi="Times New Roman"/>
          <w:b/>
          <w:bCs/>
          <w:sz w:val="24"/>
          <w:szCs w:val="24"/>
        </w:rPr>
      </w:pPr>
    </w:p>
    <w:p w14:paraId="255C813C" w14:textId="2A8FDD6A" w:rsidR="009A5FF3" w:rsidRPr="00F21297" w:rsidRDefault="00FF1214" w:rsidP="00F21297">
      <w:pPr>
        <w:spacing w:after="0" w:line="360" w:lineRule="auto"/>
        <w:ind w:right="-567"/>
        <w:jc w:val="both"/>
        <w:rPr>
          <w:rFonts w:ascii="Times New Roman" w:hAnsi="Times New Roman"/>
          <w:i/>
          <w:iCs/>
          <w:sz w:val="23"/>
          <w:szCs w:val="23"/>
        </w:rPr>
      </w:pPr>
      <w:r w:rsidRPr="001014E2">
        <w:rPr>
          <w:rFonts w:ascii="Times New Roman" w:hAnsi="Times New Roman"/>
          <w:b/>
          <w:bCs/>
          <w:sz w:val="24"/>
          <w:szCs w:val="24"/>
        </w:rPr>
        <w:t>E. EVALUARE</w:t>
      </w:r>
      <w:r w:rsidRPr="001014E2">
        <w:rPr>
          <w:rFonts w:ascii="Times New Roman" w:hAnsi="Times New Roman"/>
          <w:b/>
          <w:bCs/>
          <w:sz w:val="23"/>
          <w:szCs w:val="23"/>
        </w:rPr>
        <w:t xml:space="preserve"> </w:t>
      </w:r>
    </w:p>
    <w:p w14:paraId="255C813D" w14:textId="77777777" w:rsidR="006D7A85" w:rsidRPr="001014E2" w:rsidRDefault="00A22B49" w:rsidP="00097AD5">
      <w:pPr>
        <w:spacing w:line="360" w:lineRule="auto"/>
        <w:rPr>
          <w:rFonts w:ascii="Times New Roman" w:hAnsi="Times New Roman"/>
          <w:b/>
          <w:sz w:val="24"/>
          <w:szCs w:val="24"/>
        </w:rPr>
      </w:pPr>
      <w:r w:rsidRPr="001014E2">
        <w:rPr>
          <w:rFonts w:ascii="Times New Roman" w:hAnsi="Times New Roman"/>
          <w:b/>
          <w:sz w:val="24"/>
          <w:szCs w:val="24"/>
        </w:rPr>
        <w:t xml:space="preserve">1. </w:t>
      </w:r>
      <w:r w:rsidR="006D7A85" w:rsidRPr="001014E2">
        <w:rPr>
          <w:rFonts w:ascii="Times New Roman" w:hAnsi="Times New Roman"/>
          <w:b/>
          <w:sz w:val="24"/>
          <w:szCs w:val="24"/>
        </w:rPr>
        <w:t xml:space="preserve">Forme </w:t>
      </w:r>
      <w:r w:rsidRPr="001014E2">
        <w:rPr>
          <w:rFonts w:ascii="Times New Roman" w:hAnsi="Times New Roman"/>
          <w:b/>
          <w:sz w:val="24"/>
          <w:szCs w:val="24"/>
        </w:rPr>
        <w:t xml:space="preserve">de </w:t>
      </w:r>
      <w:r w:rsidR="006D7A85" w:rsidRPr="001014E2">
        <w:rPr>
          <w:rFonts w:ascii="Times New Roman" w:hAnsi="Times New Roman"/>
          <w:b/>
          <w:sz w:val="24"/>
          <w:szCs w:val="24"/>
        </w:rPr>
        <w:t>evaluare si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A22B49" w:rsidRPr="001014E2" w14:paraId="255C8141" w14:textId="77777777" w:rsidTr="006534C4">
        <w:tc>
          <w:tcPr>
            <w:tcW w:w="3265" w:type="dxa"/>
            <w:shd w:val="clear" w:color="auto" w:fill="auto"/>
          </w:tcPr>
          <w:p w14:paraId="255C813E"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Componente disciplină</w:t>
            </w:r>
          </w:p>
        </w:tc>
        <w:tc>
          <w:tcPr>
            <w:tcW w:w="3234" w:type="dxa"/>
            <w:shd w:val="clear" w:color="auto" w:fill="auto"/>
          </w:tcPr>
          <w:p w14:paraId="255C813F"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Forme de evaluare</w:t>
            </w:r>
          </w:p>
        </w:tc>
        <w:tc>
          <w:tcPr>
            <w:tcW w:w="3248" w:type="dxa"/>
            <w:shd w:val="clear" w:color="auto" w:fill="auto"/>
          </w:tcPr>
          <w:p w14:paraId="255C8140"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Pondere</w:t>
            </w:r>
          </w:p>
        </w:tc>
      </w:tr>
      <w:tr w:rsidR="00A22B49" w:rsidRPr="001014E2" w14:paraId="255C8145" w14:textId="77777777" w:rsidTr="006534C4">
        <w:tc>
          <w:tcPr>
            <w:tcW w:w="3265" w:type="dxa"/>
            <w:shd w:val="clear" w:color="auto" w:fill="auto"/>
          </w:tcPr>
          <w:p w14:paraId="255C8142"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Curs</w:t>
            </w:r>
          </w:p>
        </w:tc>
        <w:tc>
          <w:tcPr>
            <w:tcW w:w="3234" w:type="dxa"/>
            <w:shd w:val="clear" w:color="auto" w:fill="auto"/>
          </w:tcPr>
          <w:p w14:paraId="255C8143" w14:textId="65B28DBC" w:rsidR="00A22B49" w:rsidRPr="001014E2" w:rsidRDefault="00BB539B" w:rsidP="00097AD5">
            <w:pPr>
              <w:spacing w:after="0" w:line="360" w:lineRule="auto"/>
              <w:rPr>
                <w:rFonts w:ascii="Times New Roman" w:hAnsi="Times New Roman"/>
                <w:sz w:val="24"/>
                <w:szCs w:val="24"/>
              </w:rPr>
            </w:pPr>
            <w:r>
              <w:rPr>
                <w:rFonts w:ascii="Times New Roman" w:hAnsi="Times New Roman"/>
                <w:sz w:val="24"/>
                <w:szCs w:val="24"/>
              </w:rPr>
              <w:t>Evaluare continuă</w:t>
            </w:r>
          </w:p>
        </w:tc>
        <w:tc>
          <w:tcPr>
            <w:tcW w:w="3248" w:type="dxa"/>
            <w:shd w:val="clear" w:color="auto" w:fill="auto"/>
          </w:tcPr>
          <w:p w14:paraId="255C8144" w14:textId="70F587C7" w:rsidR="00A22B49" w:rsidRPr="001014E2" w:rsidRDefault="00BB539B" w:rsidP="00097AD5">
            <w:pPr>
              <w:spacing w:after="0" w:line="360" w:lineRule="auto"/>
              <w:rPr>
                <w:rFonts w:ascii="Times New Roman" w:hAnsi="Times New Roman"/>
                <w:sz w:val="24"/>
                <w:szCs w:val="24"/>
              </w:rPr>
            </w:pPr>
            <w:r>
              <w:rPr>
                <w:rFonts w:ascii="Times New Roman" w:hAnsi="Times New Roman"/>
                <w:sz w:val="24"/>
                <w:szCs w:val="24"/>
              </w:rPr>
              <w:t>50%</w:t>
            </w:r>
          </w:p>
        </w:tc>
      </w:tr>
      <w:tr w:rsidR="00A22B49" w:rsidRPr="001014E2" w14:paraId="255C8149" w14:textId="77777777" w:rsidTr="006534C4">
        <w:tc>
          <w:tcPr>
            <w:tcW w:w="3265" w:type="dxa"/>
            <w:shd w:val="clear" w:color="auto" w:fill="auto"/>
          </w:tcPr>
          <w:p w14:paraId="255C8146"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Seminar</w:t>
            </w:r>
          </w:p>
        </w:tc>
        <w:tc>
          <w:tcPr>
            <w:tcW w:w="3234" w:type="dxa"/>
            <w:shd w:val="clear" w:color="auto" w:fill="auto"/>
          </w:tcPr>
          <w:p w14:paraId="255C8147" w14:textId="6B056CF1" w:rsidR="00A22B49" w:rsidRPr="001014E2" w:rsidRDefault="00BB539B" w:rsidP="001C551C">
            <w:pPr>
              <w:spacing w:after="0" w:line="360" w:lineRule="auto"/>
              <w:rPr>
                <w:rFonts w:ascii="Times New Roman" w:hAnsi="Times New Roman"/>
                <w:sz w:val="24"/>
                <w:szCs w:val="24"/>
              </w:rPr>
            </w:pPr>
            <w:r>
              <w:rPr>
                <w:rFonts w:ascii="Times New Roman" w:hAnsi="Times New Roman"/>
                <w:sz w:val="24"/>
                <w:szCs w:val="24"/>
              </w:rPr>
              <w:t>Evaluarea continuă</w:t>
            </w:r>
          </w:p>
        </w:tc>
        <w:tc>
          <w:tcPr>
            <w:tcW w:w="3248" w:type="dxa"/>
            <w:shd w:val="clear" w:color="auto" w:fill="auto"/>
          </w:tcPr>
          <w:p w14:paraId="255C8148" w14:textId="5FF8197F" w:rsidR="00A22B49" w:rsidRPr="001014E2" w:rsidRDefault="00BB539B" w:rsidP="00097AD5">
            <w:pPr>
              <w:spacing w:after="0" w:line="360" w:lineRule="auto"/>
              <w:rPr>
                <w:rFonts w:ascii="Times New Roman" w:hAnsi="Times New Roman"/>
                <w:sz w:val="24"/>
                <w:szCs w:val="24"/>
              </w:rPr>
            </w:pPr>
            <w:r>
              <w:rPr>
                <w:rFonts w:ascii="Times New Roman" w:hAnsi="Times New Roman"/>
                <w:sz w:val="24"/>
                <w:szCs w:val="24"/>
              </w:rPr>
              <w:t>50%</w:t>
            </w:r>
          </w:p>
        </w:tc>
      </w:tr>
    </w:tbl>
    <w:p w14:paraId="255C814A" w14:textId="77777777" w:rsidR="00F21297" w:rsidRDefault="00F21297" w:rsidP="00687EA5">
      <w:pPr>
        <w:spacing w:line="360" w:lineRule="auto"/>
        <w:rPr>
          <w:rFonts w:ascii="Times New Roman" w:hAnsi="Times New Roman"/>
          <w:b/>
          <w:iCs/>
          <w:sz w:val="24"/>
          <w:szCs w:val="24"/>
        </w:rPr>
      </w:pPr>
    </w:p>
    <w:p w14:paraId="255C814B" w14:textId="77777777" w:rsidR="0085626F" w:rsidRPr="001014E2" w:rsidRDefault="009971EB" w:rsidP="00687EA5">
      <w:pPr>
        <w:spacing w:line="360" w:lineRule="auto"/>
        <w:rPr>
          <w:rFonts w:ascii="Times New Roman" w:hAnsi="Times New Roman"/>
          <w:b/>
          <w:iCs/>
          <w:sz w:val="24"/>
          <w:szCs w:val="24"/>
        </w:rPr>
      </w:pPr>
      <w:r>
        <w:rPr>
          <w:rFonts w:ascii="Times New Roman" w:hAnsi="Times New Roman"/>
          <w:b/>
          <w:iCs/>
          <w:sz w:val="24"/>
          <w:szCs w:val="24"/>
        </w:rPr>
        <w:t>2</w:t>
      </w:r>
      <w:r w:rsidR="001E3ADF" w:rsidRPr="001014E2">
        <w:rPr>
          <w:rFonts w:ascii="Times New Roman" w:hAnsi="Times New Roman"/>
          <w:b/>
          <w:iCs/>
          <w:sz w:val="24"/>
          <w:szCs w:val="24"/>
        </w:rPr>
        <w:t>. Standarde de perfo</w:t>
      </w:r>
      <w:r w:rsidR="00AA2747" w:rsidRPr="001014E2">
        <w:rPr>
          <w:rFonts w:ascii="Times New Roman" w:hAnsi="Times New Roman"/>
          <w:b/>
          <w:iCs/>
          <w:sz w:val="24"/>
          <w:szCs w:val="24"/>
        </w:rPr>
        <w:t>rmanță raportate la competențe: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BF2226" w:rsidRPr="001014E2" w14:paraId="255C814E" w14:textId="77777777" w:rsidTr="008F40F7">
        <w:tc>
          <w:tcPr>
            <w:tcW w:w="2410" w:type="dxa"/>
            <w:shd w:val="clear" w:color="auto" w:fill="auto"/>
          </w:tcPr>
          <w:p w14:paraId="255C814C"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Tip standard</w:t>
            </w:r>
          </w:p>
        </w:tc>
        <w:tc>
          <w:tcPr>
            <w:tcW w:w="7371" w:type="dxa"/>
            <w:shd w:val="clear" w:color="auto" w:fill="auto"/>
          </w:tcPr>
          <w:p w14:paraId="255C814D"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Descriere standard</w:t>
            </w:r>
          </w:p>
        </w:tc>
      </w:tr>
      <w:tr w:rsidR="006E4380" w:rsidRPr="001014E2" w14:paraId="255C8151" w14:textId="77777777" w:rsidTr="008F40F7">
        <w:trPr>
          <w:trHeight w:val="330"/>
        </w:trPr>
        <w:tc>
          <w:tcPr>
            <w:tcW w:w="2410" w:type="dxa"/>
            <w:shd w:val="clear" w:color="auto" w:fill="auto"/>
          </w:tcPr>
          <w:p w14:paraId="255C814F" w14:textId="77777777" w:rsidR="006E4380" w:rsidRPr="001014E2" w:rsidRDefault="006E4380" w:rsidP="00097AD5">
            <w:pPr>
              <w:spacing w:after="0" w:line="360" w:lineRule="auto"/>
              <w:rPr>
                <w:rFonts w:ascii="Times New Roman" w:hAnsi="Times New Roman"/>
                <w:iCs/>
                <w:sz w:val="24"/>
                <w:szCs w:val="24"/>
              </w:rPr>
            </w:pPr>
            <w:r w:rsidRPr="001014E2">
              <w:rPr>
                <w:rFonts w:ascii="Times New Roman" w:hAnsi="Times New Roman"/>
                <w:iCs/>
                <w:sz w:val="24"/>
                <w:szCs w:val="24"/>
              </w:rPr>
              <w:t>Minim (media 5)</w:t>
            </w:r>
          </w:p>
        </w:tc>
        <w:tc>
          <w:tcPr>
            <w:tcW w:w="7371" w:type="dxa"/>
            <w:shd w:val="clear" w:color="auto" w:fill="auto"/>
          </w:tcPr>
          <w:p w14:paraId="255C8150" w14:textId="3A70DA89" w:rsidR="006E4380" w:rsidRPr="001014E2" w:rsidRDefault="008123EF" w:rsidP="008123EF">
            <w:pPr>
              <w:spacing w:after="0" w:line="240" w:lineRule="auto"/>
              <w:jc w:val="both"/>
              <w:rPr>
                <w:rFonts w:ascii="Times New Roman" w:hAnsi="Times New Roman"/>
                <w:iCs/>
                <w:sz w:val="24"/>
                <w:szCs w:val="24"/>
              </w:rPr>
            </w:pPr>
            <w:r>
              <w:rPr>
                <w:rFonts w:ascii="Times New Roman" w:hAnsi="Times New Roman"/>
                <w:iCs/>
                <w:sz w:val="24"/>
                <w:szCs w:val="24"/>
              </w:rPr>
              <w:t xml:space="preserve">Absolvenții trebuie să dovedească: </w:t>
            </w:r>
            <w:r w:rsidRPr="008123EF">
              <w:rPr>
                <w:rFonts w:ascii="Times New Roman" w:hAnsi="Times New Roman"/>
                <w:iCs/>
                <w:sz w:val="24"/>
                <w:szCs w:val="24"/>
              </w:rPr>
              <w:t>capacitatea de a manifesta solidaritate in a rezolva provocări și probleme specifice sistemului educațional (acces și participare, calitate, relevanță, finanțare și altele) care afecteaza performanța sistemului la nivel național</w:t>
            </w:r>
            <w:r>
              <w:rPr>
                <w:rFonts w:ascii="Times New Roman" w:hAnsi="Times New Roman"/>
                <w:iCs/>
                <w:sz w:val="24"/>
                <w:szCs w:val="24"/>
              </w:rPr>
              <w:t xml:space="preserve">; </w:t>
            </w:r>
            <w:r w:rsidRPr="008123EF">
              <w:rPr>
                <w:rFonts w:ascii="Times New Roman" w:hAnsi="Times New Roman"/>
                <w:iCs/>
                <w:sz w:val="24"/>
                <w:szCs w:val="24"/>
              </w:rPr>
              <w:t xml:space="preserve">utilizarea surselor academice de informare, prin consultarea bazelor de date cu articole academice; utilizarea programelor pentru redactare de text, analiză de date, prezentare, etc. </w:t>
            </w:r>
            <w:r w:rsidRPr="008123EF">
              <w:rPr>
                <w:rFonts w:ascii="Times New Roman" w:hAnsi="Times New Roman"/>
                <w:iCs/>
                <w:sz w:val="24"/>
                <w:szCs w:val="24"/>
              </w:rPr>
              <w:lastRenderedPageBreak/>
              <w:t>utilizarea unei platforme online (e.politice.ro) pentru organizarea unor activități online cu rol educational.</w:t>
            </w:r>
          </w:p>
        </w:tc>
      </w:tr>
      <w:tr w:rsidR="00745C76" w:rsidRPr="001014E2" w14:paraId="255C8155" w14:textId="77777777" w:rsidTr="00BB539B">
        <w:trPr>
          <w:trHeight w:val="6085"/>
        </w:trPr>
        <w:tc>
          <w:tcPr>
            <w:tcW w:w="2410" w:type="dxa"/>
            <w:shd w:val="clear" w:color="auto" w:fill="auto"/>
          </w:tcPr>
          <w:p w14:paraId="255C8152" w14:textId="77777777" w:rsidR="00745C76" w:rsidRPr="001014E2" w:rsidRDefault="00745C76" w:rsidP="00097AD5">
            <w:pPr>
              <w:spacing w:after="0" w:line="360" w:lineRule="auto"/>
              <w:rPr>
                <w:rFonts w:ascii="Times New Roman" w:hAnsi="Times New Roman"/>
                <w:iCs/>
                <w:sz w:val="24"/>
                <w:szCs w:val="24"/>
              </w:rPr>
            </w:pPr>
            <w:r w:rsidRPr="001014E2">
              <w:rPr>
                <w:rFonts w:ascii="Times New Roman" w:hAnsi="Times New Roman"/>
                <w:iCs/>
                <w:sz w:val="24"/>
                <w:szCs w:val="24"/>
              </w:rPr>
              <w:lastRenderedPageBreak/>
              <w:t>Maxim (media 10)</w:t>
            </w:r>
          </w:p>
        </w:tc>
        <w:tc>
          <w:tcPr>
            <w:tcW w:w="7371" w:type="dxa"/>
            <w:shd w:val="clear" w:color="auto" w:fill="auto"/>
          </w:tcPr>
          <w:p w14:paraId="255C8154" w14:textId="15411CAF" w:rsidR="00577637" w:rsidRPr="00881B79" w:rsidRDefault="00BB539B" w:rsidP="00BB539B">
            <w:pPr>
              <w:pStyle w:val="Default"/>
              <w:jc w:val="both"/>
            </w:pPr>
            <w:r>
              <w:t xml:space="preserve">Absolvenții cursului trebuie să dovedească: </w:t>
            </w:r>
            <w:r w:rsidRPr="002A5DBB">
              <w:t>capacitatea de a manifesta solidaritate in a rezolva provocări și probleme specifice sistemului educațional (acces și participare, calitate, relevanță, finanțare și altele) care afecteaza performanța sistemului la nivel național, dar și comparativ la nivel european</w:t>
            </w:r>
            <w:r>
              <w:t xml:space="preserve">; </w:t>
            </w:r>
            <w:r w:rsidRPr="002A5DBB">
              <w:t>capacitatea de a relationa eficient cu institutii din domeniul public în demersul de cunoaștere a unei problematici specifice</w:t>
            </w:r>
            <w:r>
              <w:t xml:space="preserve">; </w:t>
            </w:r>
            <w:r w:rsidRPr="002A5DBB">
              <w:t>capacitatea de a comunica constructiv in situatii sociale diferite (a tolera alte puncte de vedere, a constientiza responsabilitatea individuala si colectiva), în special prin organizarea unor dezbateri</w:t>
            </w:r>
            <w:r>
              <w:t xml:space="preserve">; </w:t>
            </w:r>
            <w:r w:rsidRPr="002A5DBB">
              <w:t>capacitatea de a separa intre viata personala si cea profesionala</w:t>
            </w:r>
            <w:r>
              <w:t xml:space="preserve">; </w:t>
            </w:r>
            <w:r w:rsidRPr="002A5DBB">
              <w:t>capacitatea de a constientiza si intelege în context european și internațional comparativ condițiile specifice sistemului național de educație</w:t>
            </w:r>
            <w:r>
              <w:t>. De asemenea absovenții vor trebui să utilizeze pe tot parcursul activităților competențele digitale: utilizarea surselor academice de informare, prin consultarea bazelor de date cu articole academice; utilizarea programelor pentru redactare de text, analiză de date, prezentare, etc. utilizarea unei platforme online (e.politice.ro) pentru organizarea unor activități online cu rol educational. În cele din urmă, spiritul de inițiativă și antreprenoriat: este o competență adresată prin oferirea unui cadru simulat de elaborare a unei propuneri de politică publică, respectiv proiect de cercetare (care include nu doar dimensiunea științifică ci și implementarea propriu-zisă a proiectului), în funcție de opțiunile și interesele persoanelor care participă la curs și seminar.</w:t>
            </w:r>
          </w:p>
        </w:tc>
      </w:tr>
    </w:tbl>
    <w:p w14:paraId="255C8156" w14:textId="77777777" w:rsidR="009A5FF3" w:rsidRDefault="009A5FF3" w:rsidP="00122C3F">
      <w:pPr>
        <w:pStyle w:val="Default"/>
        <w:spacing w:after="240" w:line="360" w:lineRule="auto"/>
        <w:ind w:right="-567"/>
        <w:jc w:val="both"/>
        <w:rPr>
          <w:b/>
          <w:bCs/>
        </w:rPr>
      </w:pPr>
    </w:p>
    <w:p w14:paraId="255C8157" w14:textId="77777777" w:rsidR="006D1ABD" w:rsidRPr="001014E2" w:rsidRDefault="00FF1214" w:rsidP="00122C3F">
      <w:pPr>
        <w:pStyle w:val="Default"/>
        <w:spacing w:after="240" w:line="360" w:lineRule="auto"/>
        <w:ind w:right="-567"/>
        <w:jc w:val="both"/>
        <w:rPr>
          <w:sz w:val="23"/>
          <w:szCs w:val="23"/>
        </w:rPr>
      </w:pPr>
      <w:r w:rsidRPr="001014E2">
        <w:rPr>
          <w:b/>
          <w:bCs/>
        </w:rPr>
        <w:t>F. REPERE METODOLOGICE</w:t>
      </w:r>
      <w:r w:rsidRPr="001014E2">
        <w:rPr>
          <w:sz w:val="23"/>
          <w:szCs w:val="23"/>
        </w:rPr>
        <w:t xml:space="preserve"> </w:t>
      </w:r>
    </w:p>
    <w:p w14:paraId="255C8158" w14:textId="02CEDA9C" w:rsidR="00577637" w:rsidRPr="008123EF" w:rsidRDefault="006D1ABD" w:rsidP="00F21297">
      <w:pPr>
        <w:spacing w:line="360" w:lineRule="auto"/>
        <w:ind w:right="-567"/>
        <w:jc w:val="both"/>
        <w:rPr>
          <w:rFonts w:ascii="Times New Roman" w:hAnsi="Times New Roman"/>
          <w:sz w:val="24"/>
          <w:szCs w:val="24"/>
        </w:rPr>
      </w:pPr>
      <w:r w:rsidRPr="001014E2">
        <w:rPr>
          <w:rFonts w:ascii="Times New Roman" w:hAnsi="Times New Roman"/>
          <w:b/>
          <w:sz w:val="24"/>
          <w:szCs w:val="24"/>
        </w:rPr>
        <w:t>1) Strategia didactic</w:t>
      </w:r>
      <w:r w:rsidR="0022700B" w:rsidRPr="001014E2">
        <w:rPr>
          <w:rFonts w:ascii="Times New Roman" w:hAnsi="Times New Roman"/>
          <w:b/>
          <w:sz w:val="24"/>
          <w:szCs w:val="24"/>
        </w:rPr>
        <w:t>ă</w:t>
      </w:r>
      <w:r w:rsidR="008123EF">
        <w:rPr>
          <w:rFonts w:ascii="Times New Roman" w:hAnsi="Times New Roman"/>
          <w:sz w:val="24"/>
          <w:szCs w:val="24"/>
        </w:rPr>
        <w:t xml:space="preserve">: Cursul și seminarul sunt organizate pe baza unei strategii de tip învățare bazată pe problematizare (PBL sau </w:t>
      </w:r>
      <w:r w:rsidR="008123EF">
        <w:rPr>
          <w:rFonts w:ascii="Times New Roman" w:hAnsi="Times New Roman"/>
          <w:i/>
          <w:iCs/>
          <w:sz w:val="24"/>
          <w:szCs w:val="24"/>
        </w:rPr>
        <w:t>problem based learning)</w:t>
      </w:r>
      <w:r w:rsidR="008123EF">
        <w:rPr>
          <w:rFonts w:ascii="Times New Roman" w:hAnsi="Times New Roman"/>
          <w:sz w:val="24"/>
          <w:szCs w:val="24"/>
        </w:rPr>
        <w:t xml:space="preserve">. PBL reprezintă o metodă de învățare larg utilizată în diferite domenii de activitate, în special în contextul constituirii unor echipe de lucru care vor trebui ulterior procesului de învățare să rezolve împreună sarcini specifice. Această strategie didactică abordează învațarea ca pe un proces dinamic orientate spre dimensiunea aplicativă a învățării. Transmiterea de cunoștiințe se face atât între membrii echipei cât și dinspre tutore / ghid, în cazul nostru cadrele didatice academice. Abordarea presupune formularea unei probleme căreia echipa / grupul de studenți trebuie să îi găsească un răspuns, o soluție, fără a fi familiarizată de la început cu domeniul de studiu / activitate. Pe parcursul activităților membrii echipei sunt încurajați să se organizeze, să își împartă sarcini de lucru și să caute informații pe baza cărora să reușească să elaboreze, folosind raționamente / analize / sinteze proprii conținutul unei rezolvări. Rolul cadrelor didactice este mai degrabă acela de a direcționa, de a sfătui, de a oferi diferite elemente de cunoaștere (concepte teoretice, exemple ale unor situații similare etc.) fără a indica rolul acestor elemente în rezolvarea problemei. </w:t>
      </w:r>
    </w:p>
    <w:p w14:paraId="255C8159" w14:textId="2FF0C557" w:rsidR="0085626F" w:rsidRDefault="0042759D" w:rsidP="00097AD5">
      <w:pPr>
        <w:spacing w:line="360" w:lineRule="auto"/>
        <w:rPr>
          <w:rFonts w:ascii="Times New Roman" w:hAnsi="Times New Roman"/>
          <w:b/>
          <w:sz w:val="24"/>
          <w:szCs w:val="24"/>
        </w:rPr>
      </w:pPr>
      <w:r w:rsidRPr="001014E2">
        <w:rPr>
          <w:rFonts w:ascii="Times New Roman" w:hAnsi="Times New Roman"/>
          <w:b/>
          <w:sz w:val="24"/>
          <w:szCs w:val="24"/>
        </w:rPr>
        <w:lastRenderedPageBreak/>
        <w:t>2) Materiale și Resurse didactice</w:t>
      </w:r>
      <w:r w:rsidR="0085626F" w:rsidRPr="001014E2">
        <w:rPr>
          <w:rFonts w:ascii="Times New Roman" w:hAnsi="Times New Roman"/>
          <w:b/>
          <w:sz w:val="24"/>
          <w:szCs w:val="24"/>
        </w:rPr>
        <w:t>:</w:t>
      </w:r>
      <w:r w:rsidR="008123EF">
        <w:rPr>
          <w:rFonts w:ascii="Times New Roman" w:hAnsi="Times New Roman"/>
          <w:b/>
          <w:sz w:val="24"/>
          <w:szCs w:val="24"/>
        </w:rPr>
        <w:t xml:space="preserve"> Nu sunt necesare astfel de materiale. Consumabile (precum flipchart / carioci / tabla) si ocazional proiector si laptop sunt necesare pentru derularea activitatilor față în față. </w:t>
      </w:r>
    </w:p>
    <w:p w14:paraId="06D06DAC" w14:textId="7ACB9CED" w:rsidR="009A088D" w:rsidRDefault="009A088D" w:rsidP="00097AD5">
      <w:pPr>
        <w:spacing w:line="360" w:lineRule="auto"/>
        <w:rPr>
          <w:rFonts w:ascii="Times New Roman" w:hAnsi="Times New Roman"/>
          <w:b/>
          <w:bCs/>
          <w:sz w:val="24"/>
          <w:szCs w:val="24"/>
        </w:rPr>
      </w:pPr>
      <w:r w:rsidRPr="009A088D">
        <w:rPr>
          <w:rFonts w:ascii="Times New Roman" w:hAnsi="Times New Roman"/>
          <w:b/>
          <w:bCs/>
          <w:sz w:val="24"/>
          <w:szCs w:val="24"/>
        </w:rPr>
        <w:t>G. BIBLIOGRAFIE</w:t>
      </w:r>
    </w:p>
    <w:p w14:paraId="4D5FE27B"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w:t>
      </w:r>
      <w:r w:rsidRPr="0053798B">
        <w:rPr>
          <w:rFonts w:ascii="Times New Roman" w:hAnsi="Times New Roman"/>
          <w:sz w:val="20"/>
          <w:szCs w:val="20"/>
        </w:rPr>
        <w:t>Apple,</w:t>
      </w:r>
      <w:r>
        <w:rPr>
          <w:rFonts w:ascii="Times New Roman" w:hAnsi="Times New Roman"/>
          <w:sz w:val="20"/>
          <w:szCs w:val="20"/>
        </w:rPr>
        <w:t xml:space="preserve"> Michael</w:t>
      </w:r>
      <w:r w:rsidRPr="0053798B">
        <w:rPr>
          <w:rFonts w:ascii="Times New Roman" w:hAnsi="Times New Roman"/>
          <w:sz w:val="20"/>
          <w:szCs w:val="20"/>
        </w:rPr>
        <w:t xml:space="preserve"> Stephen J. Ball, Luis Armando Gandin (eds.). The Routledge International Handbook of the Sociology of Education. London and New York: Routledge.</w:t>
      </w:r>
    </w:p>
    <w:p w14:paraId="72806584"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w:t>
      </w:r>
      <w:r w:rsidRPr="0053798B">
        <w:rPr>
          <w:rFonts w:ascii="Times New Roman" w:hAnsi="Times New Roman"/>
          <w:sz w:val="20"/>
          <w:szCs w:val="20"/>
        </w:rPr>
        <w:t>Bîrzea, Cezar și Ciprian Fartușnic. 2003. Reforming the Romanian System of Education. The agenda ahead. În Change Forces in Post-Communist Eastern Europe. Education in transtion, de Eleoussa Polyzoi, Michael Fullan, John Anchan. London and New York: Routledge.</w:t>
      </w:r>
    </w:p>
    <w:p w14:paraId="42C37B2E"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w:t>
      </w:r>
      <w:r w:rsidRPr="007951F6">
        <w:rPr>
          <w:rFonts w:ascii="Times New Roman" w:hAnsi="Times New Roman"/>
          <w:sz w:val="20"/>
          <w:szCs w:val="20"/>
        </w:rPr>
        <w:t>BLEIKLIE, I. (1998) Justifying the Evaluative State: New Public Management ideals in higher education, European Journal of Education, 33, pp. 299-316.</w:t>
      </w:r>
    </w:p>
    <w:p w14:paraId="605961DC"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w:t>
      </w:r>
      <w:r w:rsidRPr="004D44C3">
        <w:rPr>
          <w:rFonts w:ascii="Times New Roman" w:hAnsi="Times New Roman"/>
          <w:sz w:val="20"/>
          <w:szCs w:val="20"/>
        </w:rPr>
        <w:t>Buchmann, C. &amp; Hannum, E. (2001). Education and stratification in developing countries: A review of theories and research. Annual Review of Sociology, 27, 77-102</w:t>
      </w:r>
    </w:p>
    <w:p w14:paraId="600C2011"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Cerkez, Mirela (coord.), 2009. Evaluarea Programelor și politiclor publice. Teorii, metode și practici. Editura Polirom</w:t>
      </w:r>
    </w:p>
    <w:p w14:paraId="4C3722A3"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w:t>
      </w:r>
      <w:r w:rsidRPr="004D44C3">
        <w:rPr>
          <w:rFonts w:ascii="Times New Roman" w:hAnsi="Times New Roman"/>
          <w:sz w:val="20"/>
          <w:szCs w:val="20"/>
        </w:rPr>
        <w:t>Jigău, M. (2000). Învățământul rural din România: condiții, probleme și strategii de dezvoltare (Rural education in Romania: conditions, challenges and strategies of development.). București: MarLink.</w:t>
      </w:r>
    </w:p>
    <w:p w14:paraId="7A38A7B8"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w:t>
      </w:r>
      <w:r w:rsidRPr="00076533">
        <w:rPr>
          <w:rFonts w:ascii="Times New Roman" w:hAnsi="Times New Roman"/>
          <w:sz w:val="20"/>
          <w:szCs w:val="20"/>
        </w:rPr>
        <w:t>Lezotte, Lawrence. N.D. “Revolutionary and Evolutionary: The Effective Schools Movement.” Working paper, Effective Schools website.</w:t>
      </w:r>
    </w:p>
    <w:p w14:paraId="6A873C3F"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w:t>
      </w:r>
      <w:r w:rsidRPr="0053798B">
        <w:rPr>
          <w:rFonts w:ascii="Times New Roman" w:hAnsi="Times New Roman"/>
          <w:sz w:val="20"/>
          <w:szCs w:val="20"/>
        </w:rPr>
        <w:t>Lynch, Kathleen și Claire O’Riordan. 2007. Inequality in higher education. A study of class barriers. În Education and Society. 25 years of the British Journal of Sociology of Education, de Len Barton. New York and London: Routledge.</w:t>
      </w:r>
    </w:p>
    <w:p w14:paraId="611F2735"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w:t>
      </w:r>
      <w:r w:rsidRPr="004D44C3">
        <w:rPr>
          <w:rFonts w:ascii="Times New Roman" w:hAnsi="Times New Roman"/>
          <w:sz w:val="20"/>
          <w:szCs w:val="20"/>
        </w:rPr>
        <w:t>Machin, S. (2009). Education and Inequality. In W. Salverda, B. Nolan &amp; T. Smeeding (Eds.), The Oxford Handbook of Economic Inequality. Oxford: Oxford University Press.</w:t>
      </w:r>
    </w:p>
    <w:p w14:paraId="033012CB"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w:t>
      </w:r>
      <w:r w:rsidRPr="004D44C3">
        <w:rPr>
          <w:rFonts w:ascii="Times New Roman" w:hAnsi="Times New Roman"/>
          <w:sz w:val="20"/>
          <w:szCs w:val="20"/>
        </w:rPr>
        <w:t>Mullis, I., Martin, M., Foy, P., Drucker, K. (2012a). PIRLS: 2011 International Results in Reading. Boston: TIMSS &amp; PIRLS International Study Center &amp; Amsterdam: International Association for the Evaluation of Educational Achievement.</w:t>
      </w:r>
    </w:p>
    <w:p w14:paraId="664DB6DB"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w:t>
      </w:r>
      <w:r w:rsidRPr="004D44C3">
        <w:rPr>
          <w:rFonts w:ascii="Times New Roman" w:hAnsi="Times New Roman"/>
          <w:sz w:val="20"/>
          <w:szCs w:val="20"/>
        </w:rPr>
        <w:t>Mullis, I., Martin, M., Foy, P., Arora, A. (2012b). TIMSS: 2011 International Results in Mathematics. Boston: TIMSS &amp; PIRLS International Study Center &amp; Amsterdam: International Association for the Evaluation of Educational Achievement.</w:t>
      </w:r>
    </w:p>
    <w:p w14:paraId="4E6CE9D8"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w:t>
      </w:r>
      <w:r w:rsidRPr="004D44C3">
        <w:rPr>
          <w:rFonts w:ascii="Times New Roman" w:hAnsi="Times New Roman"/>
          <w:sz w:val="20"/>
          <w:szCs w:val="20"/>
        </w:rPr>
        <w:t>Martin, M., Mullis, I., Foy, P., Stanco, G. 2012. TIMSS: 2011 International Results in Science. Boston: TIMSS &amp; PIRLS International Study Center &amp; Amsterdam: International Association for the Evaluation of Educational Achievement)</w:t>
      </w:r>
      <w:r>
        <w:rPr>
          <w:rFonts w:ascii="Times New Roman" w:hAnsi="Times New Roman"/>
          <w:sz w:val="20"/>
          <w:szCs w:val="20"/>
        </w:rPr>
        <w:t>.</w:t>
      </w:r>
    </w:p>
    <w:p w14:paraId="4353DEBB"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Miroiu, Adrian. 1998. </w:t>
      </w:r>
      <w:r w:rsidRPr="0053798B">
        <w:rPr>
          <w:rFonts w:ascii="Times New Roman" w:hAnsi="Times New Roman"/>
          <w:sz w:val="20"/>
          <w:szCs w:val="20"/>
        </w:rPr>
        <w:t>Învăţământul Ro</w:t>
      </w:r>
      <w:r>
        <w:rPr>
          <w:rFonts w:ascii="Times New Roman" w:hAnsi="Times New Roman"/>
          <w:sz w:val="20"/>
          <w:szCs w:val="20"/>
        </w:rPr>
        <w:t>mânesc Azi: Studiu de Diagnoză</w:t>
      </w:r>
      <w:r w:rsidRPr="0053798B">
        <w:rPr>
          <w:rFonts w:ascii="Times New Roman" w:hAnsi="Times New Roman"/>
          <w:sz w:val="20"/>
          <w:szCs w:val="20"/>
        </w:rPr>
        <w:t>. Iaşi: Polirom.</w:t>
      </w:r>
    </w:p>
    <w:p w14:paraId="03948EEB" w14:textId="77777777" w:rsidR="00D40838" w:rsidRPr="00A94116" w:rsidRDefault="00D40838" w:rsidP="00D40838">
      <w:pPr>
        <w:spacing w:after="0" w:line="240" w:lineRule="auto"/>
        <w:jc w:val="both"/>
        <w:rPr>
          <w:rFonts w:ascii="Times New Roman" w:hAnsi="Times New Roman"/>
          <w:i/>
          <w:sz w:val="20"/>
          <w:szCs w:val="20"/>
        </w:rPr>
      </w:pPr>
      <w:r>
        <w:rPr>
          <w:rFonts w:ascii="Times New Roman" w:hAnsi="Times New Roman"/>
          <w:sz w:val="20"/>
          <w:szCs w:val="20"/>
        </w:rPr>
        <w:t>- Miroiu, Adrian; Bogdan Florian. 2015. Universitatea românească azi. Editura Tritonic.</w:t>
      </w:r>
    </w:p>
    <w:p w14:paraId="753B7ED2"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w:t>
      </w:r>
      <w:r w:rsidRPr="004D44C3">
        <w:rPr>
          <w:rFonts w:ascii="Times New Roman" w:hAnsi="Times New Roman"/>
          <w:sz w:val="20"/>
          <w:szCs w:val="20"/>
        </w:rPr>
        <w:t>Murnane, R. &amp; Willett J. (2011). Methods Matter. Improving Causal Inference in Educational and Social Science Research. New York: Oxford University Press.</w:t>
      </w:r>
    </w:p>
    <w:p w14:paraId="067D3A00"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w:t>
      </w:r>
      <w:r w:rsidRPr="007951F6">
        <w:rPr>
          <w:rFonts w:ascii="Times New Roman" w:hAnsi="Times New Roman"/>
          <w:sz w:val="20"/>
          <w:szCs w:val="20"/>
        </w:rPr>
        <w:t>NEAVE, G. (1998) The Evaluative State Reconsidered, European Journal of Education, 33 (3), pp. 265-284</w:t>
      </w:r>
    </w:p>
    <w:p w14:paraId="0D26C148"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w:t>
      </w:r>
      <w:r w:rsidRPr="004D44C3">
        <w:rPr>
          <w:rFonts w:ascii="Times New Roman" w:hAnsi="Times New Roman"/>
          <w:sz w:val="20"/>
          <w:szCs w:val="20"/>
        </w:rPr>
        <w:t>Sandi, A. &amp; Moarcas, M. (2007). Romania Education Policy Note. Washington D.C.: The World Bank.</w:t>
      </w:r>
    </w:p>
    <w:p w14:paraId="22D1B23D"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w:t>
      </w:r>
      <w:r w:rsidRPr="004D44C3">
        <w:rPr>
          <w:rFonts w:ascii="Times New Roman" w:hAnsi="Times New Roman"/>
          <w:sz w:val="20"/>
          <w:szCs w:val="20"/>
        </w:rPr>
        <w:t>Tsantis, A. &amp; Pepper, R. (1979). Romania: The Industrialization of an Agrarian Economy under Socialist Planning. Washington D.C.: The World Bank</w:t>
      </w:r>
      <w:r>
        <w:rPr>
          <w:rFonts w:ascii="Times New Roman" w:hAnsi="Times New Roman"/>
          <w:sz w:val="20"/>
          <w:szCs w:val="20"/>
        </w:rPr>
        <w:t>.</w:t>
      </w:r>
    </w:p>
    <w:p w14:paraId="61AF81C9"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Păunescu, Mihai (coord.), 2008. Management Public în România. Editura Polirom</w:t>
      </w:r>
    </w:p>
    <w:p w14:paraId="2512DBA1"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Ruegg, W. 2011. A History of the University in Europe (vol III &amp; vol IV), Cambridge University Press.</w:t>
      </w:r>
    </w:p>
    <w:p w14:paraId="5F8080A2"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xml:space="preserve">- </w:t>
      </w:r>
      <w:r w:rsidRPr="004D44C3">
        <w:rPr>
          <w:rFonts w:ascii="Times New Roman" w:hAnsi="Times New Roman"/>
          <w:sz w:val="20"/>
          <w:szCs w:val="20"/>
        </w:rPr>
        <w:t>Vlasceanu, L. (Ed.) (2002). Școala la Răscruce. Schimbare și continuitate în curriculumul învățământului obligatoriu. Studiu de impact (School at the Crossroads. Change and continuity in the compulsory education curriculum). Iași, Polirom.</w:t>
      </w:r>
    </w:p>
    <w:p w14:paraId="5FD3BC30" w14:textId="77777777" w:rsidR="00D40838" w:rsidRDefault="00D40838" w:rsidP="00D40838">
      <w:pPr>
        <w:spacing w:after="0" w:line="240" w:lineRule="auto"/>
        <w:jc w:val="both"/>
        <w:rPr>
          <w:rFonts w:ascii="Times New Roman" w:hAnsi="Times New Roman"/>
          <w:sz w:val="20"/>
          <w:szCs w:val="20"/>
        </w:rPr>
      </w:pPr>
      <w:r>
        <w:rPr>
          <w:rFonts w:ascii="Times New Roman" w:hAnsi="Times New Roman"/>
          <w:sz w:val="20"/>
          <w:szCs w:val="20"/>
        </w:rPr>
        <w:t>- Vlăsceanu, L.; Gabriel Marian Hâncean, 2015, Modernitate Românească. Editura Paralela 45.</w:t>
      </w:r>
    </w:p>
    <w:p w14:paraId="7050231C" w14:textId="58E76882" w:rsidR="00D40838" w:rsidRPr="009A088D" w:rsidRDefault="00D40838" w:rsidP="00D40838">
      <w:pPr>
        <w:spacing w:line="360" w:lineRule="auto"/>
        <w:rPr>
          <w:rFonts w:ascii="Times New Roman" w:hAnsi="Times New Roman"/>
          <w:b/>
          <w:sz w:val="24"/>
          <w:szCs w:val="24"/>
        </w:rPr>
      </w:pPr>
      <w:r>
        <w:rPr>
          <w:rFonts w:ascii="Times New Roman" w:hAnsi="Times New Roman"/>
          <w:sz w:val="20"/>
          <w:szCs w:val="20"/>
        </w:rPr>
        <w:t xml:space="preserve">- </w:t>
      </w:r>
      <w:r w:rsidRPr="004D44C3">
        <w:rPr>
          <w:rFonts w:ascii="Times New Roman" w:hAnsi="Times New Roman"/>
          <w:sz w:val="20"/>
          <w:szCs w:val="20"/>
        </w:rPr>
        <w:t>World Bank (2003). Romania: World Bank Helps Improve Rural Education. Washington D.C.: The World Bank.</w:t>
      </w:r>
    </w:p>
    <w:p w14:paraId="19350EDF" w14:textId="77777777" w:rsidR="008F6491" w:rsidRDefault="008F6491" w:rsidP="008F6491">
      <w:pPr>
        <w:autoSpaceDE w:val="0"/>
        <w:autoSpaceDN w:val="0"/>
        <w:adjustRightInd w:val="0"/>
        <w:ind w:right="-567"/>
        <w:rPr>
          <w:rFonts w:asciiTheme="majorHAnsi" w:hAnsiTheme="majorHAnsi" w:cstheme="majorHAnsi"/>
          <w:b/>
          <w:bCs/>
          <w:color w:val="000000"/>
        </w:rPr>
      </w:pPr>
    </w:p>
    <w:p w14:paraId="5E9103BD" w14:textId="5A736D4D" w:rsidR="008F6491" w:rsidRPr="0012271A" w:rsidRDefault="008F6491" w:rsidP="008F6491">
      <w:pPr>
        <w:autoSpaceDE w:val="0"/>
        <w:autoSpaceDN w:val="0"/>
        <w:adjustRightInd w:val="0"/>
        <w:ind w:right="-567"/>
        <w:rPr>
          <w:rFonts w:asciiTheme="majorHAnsi" w:hAnsiTheme="majorHAnsi" w:cstheme="majorHAnsi"/>
          <w:color w:val="000000"/>
        </w:rPr>
      </w:pPr>
      <w:r w:rsidRPr="0012271A">
        <w:rPr>
          <w:rFonts w:asciiTheme="majorHAnsi" w:hAnsiTheme="majorHAnsi" w:cstheme="majorHAnsi"/>
          <w:b/>
          <w:bCs/>
          <w:color w:val="000000"/>
        </w:rPr>
        <w:t xml:space="preserve">DIRECTOR DEPARTAMENT,                                                        </w:t>
      </w:r>
      <w:r w:rsidRPr="0012271A">
        <w:rPr>
          <w:rFonts w:asciiTheme="majorHAnsi" w:hAnsiTheme="majorHAnsi" w:cstheme="majorHAnsi"/>
          <w:b/>
          <w:bCs/>
          <w:color w:val="000000"/>
        </w:rPr>
        <w:tab/>
      </w:r>
      <w:r w:rsidRPr="0012271A">
        <w:rPr>
          <w:rFonts w:asciiTheme="majorHAnsi" w:hAnsiTheme="majorHAnsi" w:cstheme="majorHAnsi"/>
          <w:b/>
          <w:bCs/>
          <w:color w:val="000000"/>
        </w:rPr>
        <w:tab/>
        <w:t xml:space="preserve">   TITULAR DE DISCIPLINĂ, </w:t>
      </w:r>
    </w:p>
    <w:p w14:paraId="7C495807" w14:textId="77777777" w:rsidR="008F6491" w:rsidRPr="0012271A" w:rsidRDefault="008F6491" w:rsidP="008F6491">
      <w:pPr>
        <w:pStyle w:val="Default"/>
        <w:spacing w:line="360" w:lineRule="auto"/>
        <w:rPr>
          <w:rFonts w:asciiTheme="majorHAnsi" w:hAnsiTheme="majorHAnsi" w:cstheme="majorHAnsi"/>
          <w:iCs/>
        </w:rPr>
      </w:pPr>
      <w:r w:rsidRPr="0012271A">
        <w:rPr>
          <w:rFonts w:asciiTheme="majorHAnsi" w:hAnsiTheme="majorHAnsi" w:cstheme="majorHAnsi"/>
        </w:rPr>
        <w:t xml:space="preserve">Conf. Univ. Dr. Mihai Ungureanu                                           </w:t>
      </w:r>
      <w:r>
        <w:rPr>
          <w:rFonts w:asciiTheme="majorHAnsi" w:hAnsiTheme="majorHAnsi" w:cstheme="majorHAnsi"/>
        </w:rPr>
        <w:t xml:space="preserve">         </w:t>
      </w:r>
      <w:r w:rsidRPr="0012271A">
        <w:rPr>
          <w:rFonts w:asciiTheme="majorHAnsi" w:hAnsiTheme="majorHAnsi" w:cstheme="majorHAnsi"/>
        </w:rPr>
        <w:t xml:space="preserve">   </w:t>
      </w:r>
      <w:r w:rsidRPr="0012271A">
        <w:rPr>
          <w:rFonts w:asciiTheme="majorHAnsi" w:hAnsiTheme="majorHAnsi" w:cstheme="majorHAnsi"/>
          <w:iCs/>
        </w:rPr>
        <w:t>Lect. Univ. Dr. Bogdan Florian</w:t>
      </w:r>
    </w:p>
    <w:p w14:paraId="24C2F3BD" w14:textId="77777777" w:rsidR="008F6491" w:rsidRPr="0012271A" w:rsidRDefault="008F6491" w:rsidP="008F6491">
      <w:pPr>
        <w:pStyle w:val="Default"/>
        <w:spacing w:after="200" w:line="360" w:lineRule="auto"/>
        <w:ind w:right="-567"/>
        <w:rPr>
          <w:rFonts w:asciiTheme="majorHAnsi" w:hAnsiTheme="majorHAnsi" w:cstheme="majorHAnsi"/>
        </w:rPr>
      </w:pPr>
    </w:p>
    <w:p w14:paraId="255C81AC" w14:textId="4275B08A" w:rsidR="001E579C" w:rsidRPr="001014E2" w:rsidRDefault="001E579C" w:rsidP="00097AD5">
      <w:pPr>
        <w:spacing w:line="360" w:lineRule="auto"/>
        <w:ind w:right="-567"/>
        <w:rPr>
          <w:rFonts w:ascii="Times New Roman" w:hAnsi="Times New Roman"/>
        </w:rPr>
      </w:pPr>
    </w:p>
    <w:sectPr w:rsidR="001E579C" w:rsidRPr="001014E2" w:rsidSect="00DF6DEB">
      <w:headerReference w:type="even" r:id="rId8"/>
      <w:headerReference w:type="default" r:id="rId9"/>
      <w:footerReference w:type="even" r:id="rId10"/>
      <w:footerReference w:type="default" r:id="rId11"/>
      <w:headerReference w:type="first" r:id="rId12"/>
      <w:footerReference w:type="first" r:id="rId13"/>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9D406" w14:textId="77777777" w:rsidR="00AA091F" w:rsidRDefault="00AA091F" w:rsidP="00FF1214">
      <w:pPr>
        <w:spacing w:after="0" w:line="240" w:lineRule="auto"/>
      </w:pPr>
      <w:r>
        <w:separator/>
      </w:r>
    </w:p>
  </w:endnote>
  <w:endnote w:type="continuationSeparator" w:id="0">
    <w:p w14:paraId="68CE8423" w14:textId="77777777" w:rsidR="00AA091F" w:rsidRDefault="00AA091F"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232EC" w14:textId="77777777" w:rsidR="000F36D8" w:rsidRDefault="000F36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1CD8B" w14:textId="77777777" w:rsidR="000F36D8" w:rsidRDefault="000F36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D7DEC" w14:textId="77777777" w:rsidR="000F36D8" w:rsidRDefault="000F36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735D5" w14:textId="77777777" w:rsidR="00AA091F" w:rsidRDefault="00AA091F" w:rsidP="00FF1214">
      <w:pPr>
        <w:spacing w:after="0" w:line="240" w:lineRule="auto"/>
      </w:pPr>
      <w:r>
        <w:separator/>
      </w:r>
    </w:p>
  </w:footnote>
  <w:footnote w:type="continuationSeparator" w:id="0">
    <w:p w14:paraId="6F446827" w14:textId="77777777" w:rsidR="00AA091F" w:rsidRDefault="00AA091F" w:rsidP="00FF1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FAABE" w14:textId="77777777" w:rsidR="000F36D8" w:rsidRDefault="000F36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4770F8D5" w:rsidR="005A2E6C" w:rsidRPr="00DF6DEB" w:rsidRDefault="000F36D8" w:rsidP="000F36D8">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5406CB89" wp14:editId="23BB1D8A">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7A8DA" w14:textId="77777777" w:rsidR="000F36D8" w:rsidRDefault="000F36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677724"/>
    <w:multiLevelType w:val="hybridMultilevel"/>
    <w:tmpl w:val="806A0B28"/>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5F4702"/>
    <w:multiLevelType w:val="hybridMultilevel"/>
    <w:tmpl w:val="5C825AA2"/>
    <w:lvl w:ilvl="0" w:tplc="04180001">
      <w:start w:val="1"/>
      <w:numFmt w:val="bullet"/>
      <w:lvlText w:val=""/>
      <w:lvlJc w:val="left"/>
      <w:pPr>
        <w:ind w:left="720" w:hanging="360"/>
      </w:pPr>
      <w:rPr>
        <w:rFonts w:ascii="Symbol" w:hAnsi="Symbol" w:cs="Symbol" w:hint="default"/>
      </w:rPr>
    </w:lvl>
    <w:lvl w:ilvl="1" w:tplc="6122C2F8">
      <w:start w:val="2"/>
      <w:numFmt w:val="bullet"/>
      <w:lvlText w:val="•"/>
      <w:lvlJc w:val="left"/>
      <w:pPr>
        <w:ind w:left="1785" w:hanging="705"/>
      </w:pPr>
      <w:rPr>
        <w:rFonts w:ascii="Times New Roman" w:eastAsia="Calibr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306D0B"/>
    <w:multiLevelType w:val="hybridMultilevel"/>
    <w:tmpl w:val="FAA2BA4A"/>
    <w:lvl w:ilvl="0" w:tplc="C0AE5478">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AB57912"/>
    <w:multiLevelType w:val="hybridMultilevel"/>
    <w:tmpl w:val="C2C0FCA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073D5C"/>
    <w:multiLevelType w:val="hybridMultilevel"/>
    <w:tmpl w:val="5610270C"/>
    <w:lvl w:ilvl="0" w:tplc="04180001">
      <w:start w:val="1"/>
      <w:numFmt w:val="bullet"/>
      <w:lvlText w:val=""/>
      <w:lvlJc w:val="left"/>
      <w:pPr>
        <w:ind w:left="720" w:hanging="360"/>
      </w:pPr>
      <w:rPr>
        <w:rFonts w:ascii="Symbol" w:hAnsi="Symbol" w:cs="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3"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5455939"/>
    <w:multiLevelType w:val="hybridMultilevel"/>
    <w:tmpl w:val="63763C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2C36BC0"/>
    <w:multiLevelType w:val="hybridMultilevel"/>
    <w:tmpl w:val="40C078B8"/>
    <w:lvl w:ilvl="0" w:tplc="04180015">
      <w:start w:val="1"/>
      <w:numFmt w:val="upperLetter"/>
      <w:lvlText w:val="%1."/>
      <w:lvlJc w:val="left"/>
      <w:pPr>
        <w:ind w:left="720" w:hanging="360"/>
      </w:pPr>
      <w:rPr>
        <w:rFonts w:hint="default"/>
      </w:rPr>
    </w:lvl>
    <w:lvl w:ilvl="1" w:tplc="C0AE5478">
      <w:numFmt w:val="bullet"/>
      <w:lvlText w:val="-"/>
      <w:lvlJc w:val="left"/>
      <w:pPr>
        <w:ind w:left="1785" w:hanging="705"/>
      </w:pPr>
      <w:rPr>
        <w:rFonts w:ascii="Times New Roman" w:eastAsia="Calibr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15256687">
    <w:abstractNumId w:val="4"/>
  </w:num>
  <w:num w:numId="2" w16cid:durableId="786508740">
    <w:abstractNumId w:val="0"/>
  </w:num>
  <w:num w:numId="3" w16cid:durableId="5254791">
    <w:abstractNumId w:val="1"/>
  </w:num>
  <w:num w:numId="4" w16cid:durableId="1836148917">
    <w:abstractNumId w:val="13"/>
  </w:num>
  <w:num w:numId="5" w16cid:durableId="496308889">
    <w:abstractNumId w:val="11"/>
  </w:num>
  <w:num w:numId="6" w16cid:durableId="540868942">
    <w:abstractNumId w:val="2"/>
  </w:num>
  <w:num w:numId="7" w16cid:durableId="1926765805">
    <w:abstractNumId w:val="18"/>
  </w:num>
  <w:num w:numId="8" w16cid:durableId="1294285564">
    <w:abstractNumId w:val="5"/>
  </w:num>
  <w:num w:numId="9" w16cid:durableId="1217008699">
    <w:abstractNumId w:val="8"/>
  </w:num>
  <w:num w:numId="10" w16cid:durableId="1761443174">
    <w:abstractNumId w:val="12"/>
  </w:num>
  <w:num w:numId="11" w16cid:durableId="453257143">
    <w:abstractNumId w:val="14"/>
  </w:num>
  <w:num w:numId="12" w16cid:durableId="1906991476">
    <w:abstractNumId w:val="15"/>
  </w:num>
  <w:num w:numId="13" w16cid:durableId="361631574">
    <w:abstractNumId w:val="16"/>
  </w:num>
  <w:num w:numId="14" w16cid:durableId="88236022">
    <w:abstractNumId w:val="7"/>
  </w:num>
  <w:num w:numId="15" w16cid:durableId="1575508475">
    <w:abstractNumId w:val="19"/>
  </w:num>
  <w:num w:numId="16" w16cid:durableId="815537197">
    <w:abstractNumId w:val="6"/>
  </w:num>
  <w:num w:numId="17" w16cid:durableId="1820462915">
    <w:abstractNumId w:val="9"/>
  </w:num>
  <w:num w:numId="18" w16cid:durableId="1237545065">
    <w:abstractNumId w:val="10"/>
  </w:num>
  <w:num w:numId="19" w16cid:durableId="839079523">
    <w:abstractNumId w:val="3"/>
  </w:num>
  <w:num w:numId="20" w16cid:durableId="13032667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4B70"/>
    <w:rsid w:val="00025160"/>
    <w:rsid w:val="00034B51"/>
    <w:rsid w:val="00036E9B"/>
    <w:rsid w:val="00040804"/>
    <w:rsid w:val="00044D50"/>
    <w:rsid w:val="00071FF9"/>
    <w:rsid w:val="0007741B"/>
    <w:rsid w:val="00081A6A"/>
    <w:rsid w:val="000834EC"/>
    <w:rsid w:val="00084160"/>
    <w:rsid w:val="0009254C"/>
    <w:rsid w:val="00097AD5"/>
    <w:rsid w:val="000A32A7"/>
    <w:rsid w:val="000A5944"/>
    <w:rsid w:val="000B10AB"/>
    <w:rsid w:val="000B5719"/>
    <w:rsid w:val="000B673E"/>
    <w:rsid w:val="000C6150"/>
    <w:rsid w:val="000E689B"/>
    <w:rsid w:val="000F36D8"/>
    <w:rsid w:val="001014E2"/>
    <w:rsid w:val="00105FC5"/>
    <w:rsid w:val="00106B24"/>
    <w:rsid w:val="00106B57"/>
    <w:rsid w:val="00115C6F"/>
    <w:rsid w:val="00115EFC"/>
    <w:rsid w:val="001173A0"/>
    <w:rsid w:val="001179AB"/>
    <w:rsid w:val="00122C3F"/>
    <w:rsid w:val="00122E07"/>
    <w:rsid w:val="00123392"/>
    <w:rsid w:val="00135701"/>
    <w:rsid w:val="0014062B"/>
    <w:rsid w:val="00140FF3"/>
    <w:rsid w:val="0014297F"/>
    <w:rsid w:val="00145A88"/>
    <w:rsid w:val="001462C6"/>
    <w:rsid w:val="00157F0C"/>
    <w:rsid w:val="0016118F"/>
    <w:rsid w:val="00161FB7"/>
    <w:rsid w:val="001648AD"/>
    <w:rsid w:val="00166EC4"/>
    <w:rsid w:val="00170110"/>
    <w:rsid w:val="00171BDD"/>
    <w:rsid w:val="001731AD"/>
    <w:rsid w:val="00176C78"/>
    <w:rsid w:val="0018452D"/>
    <w:rsid w:val="0018465A"/>
    <w:rsid w:val="00187F2F"/>
    <w:rsid w:val="001942A8"/>
    <w:rsid w:val="001A0486"/>
    <w:rsid w:val="001A696A"/>
    <w:rsid w:val="001B5C28"/>
    <w:rsid w:val="001C551C"/>
    <w:rsid w:val="001C6213"/>
    <w:rsid w:val="001E3ADF"/>
    <w:rsid w:val="001E579C"/>
    <w:rsid w:val="001F08BB"/>
    <w:rsid w:val="001F3447"/>
    <w:rsid w:val="00200C86"/>
    <w:rsid w:val="002117AC"/>
    <w:rsid w:val="00212AF9"/>
    <w:rsid w:val="00213812"/>
    <w:rsid w:val="00217C86"/>
    <w:rsid w:val="0022204F"/>
    <w:rsid w:val="002237B5"/>
    <w:rsid w:val="0022700B"/>
    <w:rsid w:val="002373F7"/>
    <w:rsid w:val="002453D0"/>
    <w:rsid w:val="002529C7"/>
    <w:rsid w:val="0026377A"/>
    <w:rsid w:val="0027051E"/>
    <w:rsid w:val="00274D34"/>
    <w:rsid w:val="00280B79"/>
    <w:rsid w:val="002938CA"/>
    <w:rsid w:val="00294F09"/>
    <w:rsid w:val="002A04E0"/>
    <w:rsid w:val="002A0E16"/>
    <w:rsid w:val="002A0F02"/>
    <w:rsid w:val="002A5DBB"/>
    <w:rsid w:val="002B03B0"/>
    <w:rsid w:val="002B3630"/>
    <w:rsid w:val="002C3BE0"/>
    <w:rsid w:val="002D4A2C"/>
    <w:rsid w:val="002E7384"/>
    <w:rsid w:val="002F0E66"/>
    <w:rsid w:val="002F31E8"/>
    <w:rsid w:val="002F3EA6"/>
    <w:rsid w:val="002F4A37"/>
    <w:rsid w:val="003023EC"/>
    <w:rsid w:val="00311FC9"/>
    <w:rsid w:val="00330018"/>
    <w:rsid w:val="00330C86"/>
    <w:rsid w:val="00334E5F"/>
    <w:rsid w:val="00335B20"/>
    <w:rsid w:val="00335E6C"/>
    <w:rsid w:val="00337E54"/>
    <w:rsid w:val="0034033C"/>
    <w:rsid w:val="003438D1"/>
    <w:rsid w:val="00364810"/>
    <w:rsid w:val="003707D2"/>
    <w:rsid w:val="00374CB0"/>
    <w:rsid w:val="00374DA8"/>
    <w:rsid w:val="003767DA"/>
    <w:rsid w:val="00377A98"/>
    <w:rsid w:val="00395C53"/>
    <w:rsid w:val="003B2C97"/>
    <w:rsid w:val="003B51B4"/>
    <w:rsid w:val="003C4846"/>
    <w:rsid w:val="003C5C10"/>
    <w:rsid w:val="003C6231"/>
    <w:rsid w:val="003C7225"/>
    <w:rsid w:val="003D0204"/>
    <w:rsid w:val="003E0516"/>
    <w:rsid w:val="003E26AB"/>
    <w:rsid w:val="003E3DBB"/>
    <w:rsid w:val="003E4EB9"/>
    <w:rsid w:val="003E690B"/>
    <w:rsid w:val="003F0DE0"/>
    <w:rsid w:val="003F72DA"/>
    <w:rsid w:val="003F73D4"/>
    <w:rsid w:val="004011DA"/>
    <w:rsid w:val="004019A4"/>
    <w:rsid w:val="004032AB"/>
    <w:rsid w:val="00403E1B"/>
    <w:rsid w:val="00406267"/>
    <w:rsid w:val="00410716"/>
    <w:rsid w:val="00412D93"/>
    <w:rsid w:val="00412E2F"/>
    <w:rsid w:val="00413E74"/>
    <w:rsid w:val="00416514"/>
    <w:rsid w:val="004209E8"/>
    <w:rsid w:val="00422E10"/>
    <w:rsid w:val="004252C9"/>
    <w:rsid w:val="0042759D"/>
    <w:rsid w:val="00427BA6"/>
    <w:rsid w:val="00430FB0"/>
    <w:rsid w:val="00432DBB"/>
    <w:rsid w:val="00434FC9"/>
    <w:rsid w:val="00435AE1"/>
    <w:rsid w:val="00447725"/>
    <w:rsid w:val="00451BF6"/>
    <w:rsid w:val="00452CA8"/>
    <w:rsid w:val="00452F8E"/>
    <w:rsid w:val="00455902"/>
    <w:rsid w:val="004637B9"/>
    <w:rsid w:val="00464300"/>
    <w:rsid w:val="004659BE"/>
    <w:rsid w:val="00471427"/>
    <w:rsid w:val="00474CC1"/>
    <w:rsid w:val="00483D81"/>
    <w:rsid w:val="00485F08"/>
    <w:rsid w:val="00486D28"/>
    <w:rsid w:val="00487584"/>
    <w:rsid w:val="00491AD4"/>
    <w:rsid w:val="00496D51"/>
    <w:rsid w:val="00496DFD"/>
    <w:rsid w:val="004A2634"/>
    <w:rsid w:val="004A55AA"/>
    <w:rsid w:val="004B27F7"/>
    <w:rsid w:val="004C4433"/>
    <w:rsid w:val="004C7386"/>
    <w:rsid w:val="004C7FEC"/>
    <w:rsid w:val="004D33BC"/>
    <w:rsid w:val="004E07DA"/>
    <w:rsid w:val="004E2FB4"/>
    <w:rsid w:val="004E37A6"/>
    <w:rsid w:val="004E3B46"/>
    <w:rsid w:val="004E5A4C"/>
    <w:rsid w:val="004E75FD"/>
    <w:rsid w:val="004E7FF0"/>
    <w:rsid w:val="004F02D3"/>
    <w:rsid w:val="004F0807"/>
    <w:rsid w:val="004F08DB"/>
    <w:rsid w:val="004F1474"/>
    <w:rsid w:val="004F6073"/>
    <w:rsid w:val="004F6F53"/>
    <w:rsid w:val="005017D7"/>
    <w:rsid w:val="00506622"/>
    <w:rsid w:val="00514A2A"/>
    <w:rsid w:val="0051715D"/>
    <w:rsid w:val="005178B7"/>
    <w:rsid w:val="00525552"/>
    <w:rsid w:val="00525833"/>
    <w:rsid w:val="00526A11"/>
    <w:rsid w:val="005314D7"/>
    <w:rsid w:val="00531AE8"/>
    <w:rsid w:val="00535679"/>
    <w:rsid w:val="00540244"/>
    <w:rsid w:val="0055119A"/>
    <w:rsid w:val="00553734"/>
    <w:rsid w:val="00553C05"/>
    <w:rsid w:val="00566986"/>
    <w:rsid w:val="00567965"/>
    <w:rsid w:val="0057265B"/>
    <w:rsid w:val="00572C2C"/>
    <w:rsid w:val="005736A0"/>
    <w:rsid w:val="00575211"/>
    <w:rsid w:val="00577637"/>
    <w:rsid w:val="00577A45"/>
    <w:rsid w:val="00580A96"/>
    <w:rsid w:val="00592CB6"/>
    <w:rsid w:val="005A2E6C"/>
    <w:rsid w:val="005B158D"/>
    <w:rsid w:val="005B2495"/>
    <w:rsid w:val="005C252A"/>
    <w:rsid w:val="005C3214"/>
    <w:rsid w:val="005C4F22"/>
    <w:rsid w:val="005C6606"/>
    <w:rsid w:val="005D0919"/>
    <w:rsid w:val="005D5100"/>
    <w:rsid w:val="005D6041"/>
    <w:rsid w:val="005F4D76"/>
    <w:rsid w:val="006040B8"/>
    <w:rsid w:val="006059D2"/>
    <w:rsid w:val="006112AF"/>
    <w:rsid w:val="00613471"/>
    <w:rsid w:val="00615163"/>
    <w:rsid w:val="00621611"/>
    <w:rsid w:val="006224C9"/>
    <w:rsid w:val="00624347"/>
    <w:rsid w:val="00626062"/>
    <w:rsid w:val="00642059"/>
    <w:rsid w:val="0064322A"/>
    <w:rsid w:val="0064488B"/>
    <w:rsid w:val="0065246C"/>
    <w:rsid w:val="006534C4"/>
    <w:rsid w:val="006536C9"/>
    <w:rsid w:val="0065459D"/>
    <w:rsid w:val="00655D47"/>
    <w:rsid w:val="00656837"/>
    <w:rsid w:val="00661667"/>
    <w:rsid w:val="00677CED"/>
    <w:rsid w:val="0068506F"/>
    <w:rsid w:val="00687EA5"/>
    <w:rsid w:val="00690AA8"/>
    <w:rsid w:val="00695852"/>
    <w:rsid w:val="00697FE0"/>
    <w:rsid w:val="006A678D"/>
    <w:rsid w:val="006C060E"/>
    <w:rsid w:val="006D0253"/>
    <w:rsid w:val="006D1ABD"/>
    <w:rsid w:val="006D4A73"/>
    <w:rsid w:val="006D5C5D"/>
    <w:rsid w:val="006D750D"/>
    <w:rsid w:val="006D7A85"/>
    <w:rsid w:val="006E18E3"/>
    <w:rsid w:val="006E4380"/>
    <w:rsid w:val="006E4437"/>
    <w:rsid w:val="006F37B4"/>
    <w:rsid w:val="006F47C9"/>
    <w:rsid w:val="006F56EC"/>
    <w:rsid w:val="00707D76"/>
    <w:rsid w:val="007101A4"/>
    <w:rsid w:val="007144F4"/>
    <w:rsid w:val="007167DF"/>
    <w:rsid w:val="0072218C"/>
    <w:rsid w:val="00723479"/>
    <w:rsid w:val="00730245"/>
    <w:rsid w:val="00731C76"/>
    <w:rsid w:val="00737583"/>
    <w:rsid w:val="00737FD0"/>
    <w:rsid w:val="00740439"/>
    <w:rsid w:val="00741D20"/>
    <w:rsid w:val="00744259"/>
    <w:rsid w:val="00745C76"/>
    <w:rsid w:val="00753A11"/>
    <w:rsid w:val="00754BC4"/>
    <w:rsid w:val="0076682D"/>
    <w:rsid w:val="0077089C"/>
    <w:rsid w:val="0077251B"/>
    <w:rsid w:val="00775FCC"/>
    <w:rsid w:val="007773D0"/>
    <w:rsid w:val="00785397"/>
    <w:rsid w:val="0078580E"/>
    <w:rsid w:val="007A0131"/>
    <w:rsid w:val="007A0F8E"/>
    <w:rsid w:val="007A5358"/>
    <w:rsid w:val="007B002B"/>
    <w:rsid w:val="007B089A"/>
    <w:rsid w:val="007B099B"/>
    <w:rsid w:val="007B1DF0"/>
    <w:rsid w:val="007C19F7"/>
    <w:rsid w:val="007C4F99"/>
    <w:rsid w:val="007C679D"/>
    <w:rsid w:val="007D030D"/>
    <w:rsid w:val="007D14E6"/>
    <w:rsid w:val="007D589B"/>
    <w:rsid w:val="007D7537"/>
    <w:rsid w:val="007E2507"/>
    <w:rsid w:val="007E3D4D"/>
    <w:rsid w:val="007E3F05"/>
    <w:rsid w:val="007E548D"/>
    <w:rsid w:val="007F4B5E"/>
    <w:rsid w:val="007F4C0D"/>
    <w:rsid w:val="007F5C62"/>
    <w:rsid w:val="00800463"/>
    <w:rsid w:val="00810FF1"/>
    <w:rsid w:val="00812260"/>
    <w:rsid w:val="008123EF"/>
    <w:rsid w:val="00813937"/>
    <w:rsid w:val="00813C70"/>
    <w:rsid w:val="00820894"/>
    <w:rsid w:val="00821BDC"/>
    <w:rsid w:val="0085216C"/>
    <w:rsid w:val="008535C0"/>
    <w:rsid w:val="00853E15"/>
    <w:rsid w:val="00854CB1"/>
    <w:rsid w:val="0085626F"/>
    <w:rsid w:val="0085708B"/>
    <w:rsid w:val="0085759B"/>
    <w:rsid w:val="00865B6E"/>
    <w:rsid w:val="00866366"/>
    <w:rsid w:val="00877991"/>
    <w:rsid w:val="008805ED"/>
    <w:rsid w:val="00881B79"/>
    <w:rsid w:val="00881D6D"/>
    <w:rsid w:val="00885155"/>
    <w:rsid w:val="008860D4"/>
    <w:rsid w:val="00887DED"/>
    <w:rsid w:val="008A2431"/>
    <w:rsid w:val="008C65FD"/>
    <w:rsid w:val="008D2808"/>
    <w:rsid w:val="008D7BFC"/>
    <w:rsid w:val="008E4649"/>
    <w:rsid w:val="008F095A"/>
    <w:rsid w:val="008F1255"/>
    <w:rsid w:val="008F24FA"/>
    <w:rsid w:val="008F40F7"/>
    <w:rsid w:val="008F44CD"/>
    <w:rsid w:val="008F63EB"/>
    <w:rsid w:val="008F6491"/>
    <w:rsid w:val="00900FF8"/>
    <w:rsid w:val="00902C3E"/>
    <w:rsid w:val="00903576"/>
    <w:rsid w:val="00903E8F"/>
    <w:rsid w:val="00904702"/>
    <w:rsid w:val="0092188D"/>
    <w:rsid w:val="009222D4"/>
    <w:rsid w:val="00922E5F"/>
    <w:rsid w:val="0092341A"/>
    <w:rsid w:val="00924CA9"/>
    <w:rsid w:val="00925A4F"/>
    <w:rsid w:val="00925CC7"/>
    <w:rsid w:val="00925D15"/>
    <w:rsid w:val="009320F7"/>
    <w:rsid w:val="00932430"/>
    <w:rsid w:val="00937F7B"/>
    <w:rsid w:val="00960128"/>
    <w:rsid w:val="0096020B"/>
    <w:rsid w:val="00962415"/>
    <w:rsid w:val="0096323A"/>
    <w:rsid w:val="009645E1"/>
    <w:rsid w:val="009661A1"/>
    <w:rsid w:val="00972684"/>
    <w:rsid w:val="009758C5"/>
    <w:rsid w:val="0098082B"/>
    <w:rsid w:val="00983DF9"/>
    <w:rsid w:val="00992D3B"/>
    <w:rsid w:val="009971EB"/>
    <w:rsid w:val="009A088D"/>
    <w:rsid w:val="009A17A1"/>
    <w:rsid w:val="009A1903"/>
    <w:rsid w:val="009A2785"/>
    <w:rsid w:val="009A43F5"/>
    <w:rsid w:val="009A5FF3"/>
    <w:rsid w:val="009B2F8F"/>
    <w:rsid w:val="009B78DA"/>
    <w:rsid w:val="009C1079"/>
    <w:rsid w:val="009C1108"/>
    <w:rsid w:val="009C1C1B"/>
    <w:rsid w:val="009D0484"/>
    <w:rsid w:val="009D0D7E"/>
    <w:rsid w:val="009D1B65"/>
    <w:rsid w:val="009D7197"/>
    <w:rsid w:val="009E3287"/>
    <w:rsid w:val="009F0048"/>
    <w:rsid w:val="009F266A"/>
    <w:rsid w:val="00A02336"/>
    <w:rsid w:val="00A029B4"/>
    <w:rsid w:val="00A1210F"/>
    <w:rsid w:val="00A156CB"/>
    <w:rsid w:val="00A158D2"/>
    <w:rsid w:val="00A228BE"/>
    <w:rsid w:val="00A22B38"/>
    <w:rsid w:val="00A22B49"/>
    <w:rsid w:val="00A25B2D"/>
    <w:rsid w:val="00A336CA"/>
    <w:rsid w:val="00A35403"/>
    <w:rsid w:val="00A3652C"/>
    <w:rsid w:val="00A36C50"/>
    <w:rsid w:val="00A420D0"/>
    <w:rsid w:val="00A42DF4"/>
    <w:rsid w:val="00A445A2"/>
    <w:rsid w:val="00A445F9"/>
    <w:rsid w:val="00A5247B"/>
    <w:rsid w:val="00A54343"/>
    <w:rsid w:val="00A548F0"/>
    <w:rsid w:val="00A55B1A"/>
    <w:rsid w:val="00A56B12"/>
    <w:rsid w:val="00A574A2"/>
    <w:rsid w:val="00A628D8"/>
    <w:rsid w:val="00A67C25"/>
    <w:rsid w:val="00A720A8"/>
    <w:rsid w:val="00A8367A"/>
    <w:rsid w:val="00AA091F"/>
    <w:rsid w:val="00AA2747"/>
    <w:rsid w:val="00AA32E4"/>
    <w:rsid w:val="00AA5A01"/>
    <w:rsid w:val="00AB1C8C"/>
    <w:rsid w:val="00AB3A2D"/>
    <w:rsid w:val="00AB50B9"/>
    <w:rsid w:val="00AB510F"/>
    <w:rsid w:val="00AB7E19"/>
    <w:rsid w:val="00AB7FE7"/>
    <w:rsid w:val="00AC43EE"/>
    <w:rsid w:val="00AC622A"/>
    <w:rsid w:val="00AD6D4A"/>
    <w:rsid w:val="00AD7C67"/>
    <w:rsid w:val="00AE1B3A"/>
    <w:rsid w:val="00AE2CF3"/>
    <w:rsid w:val="00AE537F"/>
    <w:rsid w:val="00AF0AFC"/>
    <w:rsid w:val="00B004F1"/>
    <w:rsid w:val="00B00D75"/>
    <w:rsid w:val="00B039D3"/>
    <w:rsid w:val="00B10209"/>
    <w:rsid w:val="00B12274"/>
    <w:rsid w:val="00B12AAA"/>
    <w:rsid w:val="00B22616"/>
    <w:rsid w:val="00B24DAA"/>
    <w:rsid w:val="00B31CE1"/>
    <w:rsid w:val="00B33BCE"/>
    <w:rsid w:val="00B37B77"/>
    <w:rsid w:val="00B40C62"/>
    <w:rsid w:val="00B424F7"/>
    <w:rsid w:val="00B45452"/>
    <w:rsid w:val="00B46A02"/>
    <w:rsid w:val="00B471F3"/>
    <w:rsid w:val="00B536EC"/>
    <w:rsid w:val="00B62601"/>
    <w:rsid w:val="00B67FE6"/>
    <w:rsid w:val="00B73C8A"/>
    <w:rsid w:val="00B81A28"/>
    <w:rsid w:val="00B83131"/>
    <w:rsid w:val="00B9313B"/>
    <w:rsid w:val="00BA329E"/>
    <w:rsid w:val="00BB191D"/>
    <w:rsid w:val="00BB539B"/>
    <w:rsid w:val="00BB5A9D"/>
    <w:rsid w:val="00BD0789"/>
    <w:rsid w:val="00BD6325"/>
    <w:rsid w:val="00BD73C1"/>
    <w:rsid w:val="00BE006F"/>
    <w:rsid w:val="00BE13F1"/>
    <w:rsid w:val="00BE34D2"/>
    <w:rsid w:val="00BE39BE"/>
    <w:rsid w:val="00BF2226"/>
    <w:rsid w:val="00BF2754"/>
    <w:rsid w:val="00C02C80"/>
    <w:rsid w:val="00C0437B"/>
    <w:rsid w:val="00C07ECC"/>
    <w:rsid w:val="00C111C0"/>
    <w:rsid w:val="00C12239"/>
    <w:rsid w:val="00C14C3F"/>
    <w:rsid w:val="00C16411"/>
    <w:rsid w:val="00C17A83"/>
    <w:rsid w:val="00C2405B"/>
    <w:rsid w:val="00C252B5"/>
    <w:rsid w:val="00C35029"/>
    <w:rsid w:val="00C42BF6"/>
    <w:rsid w:val="00C4347C"/>
    <w:rsid w:val="00C4486D"/>
    <w:rsid w:val="00C5077D"/>
    <w:rsid w:val="00C55CB6"/>
    <w:rsid w:val="00C65297"/>
    <w:rsid w:val="00C67AAD"/>
    <w:rsid w:val="00C71EE6"/>
    <w:rsid w:val="00C72E2D"/>
    <w:rsid w:val="00C80030"/>
    <w:rsid w:val="00C824E8"/>
    <w:rsid w:val="00C83C59"/>
    <w:rsid w:val="00C915F7"/>
    <w:rsid w:val="00C9228C"/>
    <w:rsid w:val="00CA1AC5"/>
    <w:rsid w:val="00CB34A3"/>
    <w:rsid w:val="00CC2624"/>
    <w:rsid w:val="00CC459C"/>
    <w:rsid w:val="00CC5882"/>
    <w:rsid w:val="00CC6F59"/>
    <w:rsid w:val="00CD20D1"/>
    <w:rsid w:val="00CD2F59"/>
    <w:rsid w:val="00CE3B8C"/>
    <w:rsid w:val="00CE4987"/>
    <w:rsid w:val="00CE79E3"/>
    <w:rsid w:val="00CF0384"/>
    <w:rsid w:val="00CF0FFD"/>
    <w:rsid w:val="00CF3A5D"/>
    <w:rsid w:val="00CF73DD"/>
    <w:rsid w:val="00D00895"/>
    <w:rsid w:val="00D00DC0"/>
    <w:rsid w:val="00D0449C"/>
    <w:rsid w:val="00D10E83"/>
    <w:rsid w:val="00D162ED"/>
    <w:rsid w:val="00D267C1"/>
    <w:rsid w:val="00D31D8D"/>
    <w:rsid w:val="00D37F6C"/>
    <w:rsid w:val="00D40838"/>
    <w:rsid w:val="00D41521"/>
    <w:rsid w:val="00D4328D"/>
    <w:rsid w:val="00D50FCB"/>
    <w:rsid w:val="00D56684"/>
    <w:rsid w:val="00D652A0"/>
    <w:rsid w:val="00D65697"/>
    <w:rsid w:val="00D74027"/>
    <w:rsid w:val="00D750A7"/>
    <w:rsid w:val="00D76069"/>
    <w:rsid w:val="00D818EF"/>
    <w:rsid w:val="00D8337A"/>
    <w:rsid w:val="00D83774"/>
    <w:rsid w:val="00D84BD5"/>
    <w:rsid w:val="00D95C64"/>
    <w:rsid w:val="00DA34E1"/>
    <w:rsid w:val="00DA64FC"/>
    <w:rsid w:val="00DA6B49"/>
    <w:rsid w:val="00DB1187"/>
    <w:rsid w:val="00DB2C46"/>
    <w:rsid w:val="00DC1F95"/>
    <w:rsid w:val="00DC5627"/>
    <w:rsid w:val="00DD5D77"/>
    <w:rsid w:val="00DE148C"/>
    <w:rsid w:val="00DE1DCD"/>
    <w:rsid w:val="00DE25AE"/>
    <w:rsid w:val="00DE3440"/>
    <w:rsid w:val="00DE3997"/>
    <w:rsid w:val="00DE5473"/>
    <w:rsid w:val="00DF2D87"/>
    <w:rsid w:val="00DF4EB8"/>
    <w:rsid w:val="00DF6391"/>
    <w:rsid w:val="00DF6DEB"/>
    <w:rsid w:val="00DF7C5D"/>
    <w:rsid w:val="00E0050E"/>
    <w:rsid w:val="00E032E3"/>
    <w:rsid w:val="00E148E2"/>
    <w:rsid w:val="00E16A0B"/>
    <w:rsid w:val="00E229C2"/>
    <w:rsid w:val="00E274DF"/>
    <w:rsid w:val="00E352CF"/>
    <w:rsid w:val="00E437E3"/>
    <w:rsid w:val="00E4494A"/>
    <w:rsid w:val="00E47671"/>
    <w:rsid w:val="00E508F2"/>
    <w:rsid w:val="00E56501"/>
    <w:rsid w:val="00E56EE9"/>
    <w:rsid w:val="00E6419C"/>
    <w:rsid w:val="00E6453D"/>
    <w:rsid w:val="00E6496C"/>
    <w:rsid w:val="00E71390"/>
    <w:rsid w:val="00E816AE"/>
    <w:rsid w:val="00E81F9C"/>
    <w:rsid w:val="00E82390"/>
    <w:rsid w:val="00E90C67"/>
    <w:rsid w:val="00E917AB"/>
    <w:rsid w:val="00E9188D"/>
    <w:rsid w:val="00EA215B"/>
    <w:rsid w:val="00EA6B88"/>
    <w:rsid w:val="00EB162D"/>
    <w:rsid w:val="00EB6D86"/>
    <w:rsid w:val="00EC4BEB"/>
    <w:rsid w:val="00ED5106"/>
    <w:rsid w:val="00EE0A6F"/>
    <w:rsid w:val="00EE1A98"/>
    <w:rsid w:val="00EE4FC7"/>
    <w:rsid w:val="00EE5258"/>
    <w:rsid w:val="00EE5507"/>
    <w:rsid w:val="00EE7394"/>
    <w:rsid w:val="00EE77DA"/>
    <w:rsid w:val="00F00F73"/>
    <w:rsid w:val="00F024DF"/>
    <w:rsid w:val="00F0540C"/>
    <w:rsid w:val="00F13C02"/>
    <w:rsid w:val="00F147C3"/>
    <w:rsid w:val="00F1629D"/>
    <w:rsid w:val="00F21297"/>
    <w:rsid w:val="00F24B97"/>
    <w:rsid w:val="00F2530F"/>
    <w:rsid w:val="00F2797D"/>
    <w:rsid w:val="00F35C4A"/>
    <w:rsid w:val="00F36455"/>
    <w:rsid w:val="00F45932"/>
    <w:rsid w:val="00F47653"/>
    <w:rsid w:val="00F52CDC"/>
    <w:rsid w:val="00F6354E"/>
    <w:rsid w:val="00F63990"/>
    <w:rsid w:val="00F73315"/>
    <w:rsid w:val="00F738C8"/>
    <w:rsid w:val="00F73F50"/>
    <w:rsid w:val="00F751CF"/>
    <w:rsid w:val="00F75829"/>
    <w:rsid w:val="00F77ECE"/>
    <w:rsid w:val="00F94332"/>
    <w:rsid w:val="00F9628D"/>
    <w:rsid w:val="00F96A6D"/>
    <w:rsid w:val="00FA00E4"/>
    <w:rsid w:val="00FA35A0"/>
    <w:rsid w:val="00FA4F82"/>
    <w:rsid w:val="00FA72C7"/>
    <w:rsid w:val="00FB076B"/>
    <w:rsid w:val="00FB0F5F"/>
    <w:rsid w:val="00FC76F0"/>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chartTrackingRefBased/>
  <w15:docId w15:val="{81CB75A2-9BE7-4AF4-9428-A9466E79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34"/>
    <w:qFormat/>
    <w:rsid w:val="00071FF9"/>
    <w:pPr>
      <w:ind w:left="720"/>
      <w:contextualSpacing/>
    </w:pPr>
  </w:style>
  <w:style w:type="paragraph" w:customStyle="1" w:styleId="Default">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98045">
      <w:bodyDiv w:val="1"/>
      <w:marLeft w:val="0"/>
      <w:marRight w:val="0"/>
      <w:marTop w:val="0"/>
      <w:marBottom w:val="0"/>
      <w:divBdr>
        <w:top w:val="none" w:sz="0" w:space="0" w:color="auto"/>
        <w:left w:val="none" w:sz="0" w:space="0" w:color="auto"/>
        <w:bottom w:val="none" w:sz="0" w:space="0" w:color="auto"/>
        <w:right w:val="none" w:sz="0" w:space="0" w:color="auto"/>
      </w:divBdr>
    </w:div>
    <w:div w:id="59378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40781-3090-492B-8F10-FAD969E46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7</Pages>
  <Words>2740</Words>
  <Characters>13212</Characters>
  <Application>Microsoft Office Word</Application>
  <DocSecurity>0</DocSecurity>
  <Lines>777</Lines>
  <Paragraphs>389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dc:description/>
  <cp:lastModifiedBy>Mihai Ungureanu</cp:lastModifiedBy>
  <cp:revision>9</cp:revision>
  <dcterms:created xsi:type="dcterms:W3CDTF">2020-05-14T12:23:00Z</dcterms:created>
  <dcterms:modified xsi:type="dcterms:W3CDTF">2022-10-04T11:31:00Z</dcterms:modified>
</cp:coreProperties>
</file>